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534897208" w:displacedByCustomXml="next"/>
    <w:bookmarkStart w:id="1" w:name="_Toc32897363" w:displacedByCustomXml="next"/>
    <w:bookmarkStart w:id="2" w:name="_Toc33667708" w:displacedByCustomXml="next"/>
    <w:bookmarkStart w:id="3" w:name="_Toc39215759" w:displacedByCustomXml="next"/>
    <w:bookmarkStart w:id="4" w:name="_Toc39220016" w:displacedByCustomXml="next"/>
    <w:bookmarkStart w:id="5" w:name="_Toc40162025" w:displacedByCustomXml="next"/>
    <w:bookmarkStart w:id="6" w:name="_Toc43892020" w:displacedByCustomXml="next"/>
    <w:bookmarkStart w:id="7" w:name="_Toc45431538" w:displacedByCustomXml="next"/>
    <w:bookmarkStart w:id="8" w:name="_Toc45441536" w:displacedByCustomXml="next"/>
    <w:bookmarkStart w:id="9" w:name="_Toc45622789" w:displacedByCustomXml="next"/>
    <w:bookmarkStart w:id="10" w:name="_Toc45686888" w:displacedByCustomXml="next"/>
    <w:bookmarkStart w:id="11" w:name="_Toc45774255" w:displacedByCustomXml="next"/>
    <w:bookmarkStart w:id="12" w:name="_Toc45947521" w:displacedByCustomXml="next"/>
    <w:bookmarkStart w:id="13" w:name="_Toc65400448" w:displacedByCustomXml="next"/>
    <w:bookmarkStart w:id="14" w:name="_Toc65406920" w:displacedByCustomXml="next"/>
    <w:bookmarkStart w:id="15" w:name="_Toc65407080" w:displacedByCustomXml="next"/>
    <w:bookmarkStart w:id="16" w:name="_Toc66007924" w:displacedByCustomXml="next"/>
    <w:bookmarkStart w:id="17" w:name="_Toc66008239" w:displacedByCustomXml="next"/>
    <w:bookmarkStart w:id="18" w:name="_Toc66008519" w:displacedByCustomXml="next"/>
    <w:bookmarkStart w:id="19" w:name="_Toc66098515" w:displacedByCustomXml="next"/>
    <w:bookmarkStart w:id="20" w:name="_Toc66164077" w:displacedByCustomXml="next"/>
    <w:bookmarkStart w:id="21" w:name="_Toc66241279" w:displacedByCustomXml="next"/>
    <w:bookmarkStart w:id="22" w:name="_Toc68313850" w:displacedByCustomXml="next"/>
    <w:bookmarkStart w:id="23" w:name="_Toc76532790" w:displacedByCustomXml="next"/>
    <w:sdt>
      <w:sdtPr>
        <w:rPr>
          <w:rFonts w:ascii="Arial" w:eastAsiaTheme="minorEastAsia" w:hAnsi="Arial" w:cstheme="minorBidi"/>
          <w:b w:val="0"/>
          <w:bCs w:val="0"/>
          <w:color w:val="auto"/>
          <w:sz w:val="22"/>
          <w:szCs w:val="22"/>
        </w:rPr>
        <w:id w:val="-19894684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9A9731" w14:textId="13146452" w:rsidR="00EC7A63" w:rsidRDefault="00EC7A63">
          <w:pPr>
            <w:pStyle w:val="TOCHeading"/>
            <w:rPr>
              <w:rFonts w:ascii="Arial" w:hAnsi="Arial" w:cs="Arial"/>
              <w:color w:val="auto"/>
            </w:rPr>
          </w:pPr>
          <w:r w:rsidRPr="00EC7A63">
            <w:rPr>
              <w:rFonts w:ascii="Arial" w:hAnsi="Arial" w:cs="Arial"/>
              <w:color w:val="auto"/>
            </w:rPr>
            <w:t>Table of Contents</w:t>
          </w:r>
        </w:p>
        <w:p w14:paraId="10594D26" w14:textId="77777777" w:rsidR="00EC7A63" w:rsidRPr="00EC7A63" w:rsidRDefault="00EC7A63" w:rsidP="00BD4F46">
          <w:pPr>
            <w:spacing w:after="120"/>
          </w:pPr>
        </w:p>
        <w:p w14:paraId="5EEB124C" w14:textId="068637FF" w:rsidR="006A055D" w:rsidRDefault="004A2A44" w:rsidP="004A2A44">
          <w:pPr>
            <w:pStyle w:val="TOC2"/>
            <w:rPr>
              <w:rFonts w:asciiTheme="minorHAnsi" w:hAnsiTheme="minorHAnsi"/>
              <w:lang w:eastAsia="zh-CN"/>
            </w:rPr>
          </w:pPr>
          <w:r w:rsidRPr="004A2A44">
            <w:t xml:space="preserve">PART B: </w:t>
          </w:r>
          <w:r w:rsidRPr="004A2A44">
            <w:tab/>
            <w:t>CHECKLIST ON DOSSIER REQUIREMENTS FOR MIV-2 (NOTIFICATION) VARIATION</w:t>
          </w:r>
          <w:r w:rsidR="00EC7A63">
            <w:fldChar w:fldCharType="begin"/>
          </w:r>
          <w:r w:rsidR="00EC7A63">
            <w:instrText xml:space="preserve"> TOC \o "1-3" \h \z \u </w:instrText>
          </w:r>
          <w:r w:rsidR="00EC7A63">
            <w:fldChar w:fldCharType="separate"/>
          </w:r>
        </w:p>
        <w:p w14:paraId="7B29E81D" w14:textId="07E90F52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3" w:history="1">
            <w:r w:rsidR="006A055D" w:rsidRPr="00252821">
              <w:rPr>
                <w:rStyle w:val="Hyperlink"/>
                <w:rFonts w:cs="Arial"/>
              </w:rPr>
              <w:t>C1</w:t>
            </w:r>
            <w:r w:rsidR="006A055D">
              <w:rPr>
                <w:rFonts w:asciiTheme="minorHAnsi" w:hAnsiTheme="minorHAnsi"/>
                <w:lang w:eastAsia="zh-CN"/>
              </w:rPr>
              <w:tab/>
            </w:r>
            <w:r w:rsidR="006A055D" w:rsidRPr="00252821">
              <w:rPr>
                <w:rStyle w:val="Hyperlink"/>
                <w:rFonts w:cs="Arial"/>
              </w:rPr>
              <w:t>Change of Drug Product Name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_Toc99038403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2</w:t>
            </w:r>
            <w:r w:rsidR="006A055D">
              <w:rPr>
                <w:webHidden/>
              </w:rPr>
              <w:fldChar w:fldCharType="end"/>
            </w:r>
          </w:hyperlink>
        </w:p>
        <w:p w14:paraId="11BAA011" w14:textId="0497F642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4" w:history="1">
            <w:r w:rsidR="006A055D" w:rsidRPr="00252821">
              <w:rPr>
                <w:rStyle w:val="Hyperlink"/>
                <w:rFonts w:cs="Arial"/>
              </w:rPr>
              <w:t>C2</w:t>
            </w:r>
            <w:r w:rsidR="006A055D">
              <w:rPr>
                <w:rFonts w:asciiTheme="minorHAnsi" w:hAnsiTheme="minorHAnsi"/>
                <w:lang w:eastAsia="zh-CN"/>
              </w:rPr>
              <w:tab/>
            </w:r>
            <w:r w:rsidR="006A055D" w:rsidRPr="00252821">
              <w:rPr>
                <w:rStyle w:val="Hyperlink"/>
                <w:rFonts w:cs="Arial"/>
              </w:rPr>
              <w:t>Change of Content of Product Labelling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_Toc99038404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2</w:t>
            </w:r>
            <w:r w:rsidR="006A055D">
              <w:rPr>
                <w:webHidden/>
              </w:rPr>
              <w:fldChar w:fldCharType="end"/>
            </w:r>
          </w:hyperlink>
        </w:p>
        <w:p w14:paraId="3F9B65A5" w14:textId="21307173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5" w:history="1">
            <w:r w:rsidR="006A055D" w:rsidRPr="00252821">
              <w:rPr>
                <w:rStyle w:val="Hyperlink"/>
                <w:rFonts w:cs="Arial"/>
              </w:rPr>
              <w:t xml:space="preserve">C3    </w:t>
            </w:r>
            <w:r w:rsidR="006A055D">
              <w:rPr>
                <w:rStyle w:val="Hyperlink"/>
                <w:rFonts w:cs="Arial"/>
              </w:rPr>
              <w:tab/>
            </w:r>
            <w:r w:rsidR="006A055D" w:rsidRPr="00252821">
              <w:rPr>
                <w:rStyle w:val="Hyperlink"/>
                <w:rFonts w:cs="Arial"/>
              </w:rPr>
              <w:t>Addition or Replacement of Company or Party Responsible for Batch Release</w:t>
            </w:r>
            <w:r w:rsidR="006A055D">
              <w:rPr>
                <w:rStyle w:val="Hyperlink"/>
                <w:rFonts w:cs="Arial"/>
              </w:rPr>
              <w:t>….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_Toc99038405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3</w:t>
            </w:r>
            <w:r w:rsidR="006A055D">
              <w:rPr>
                <w:webHidden/>
              </w:rPr>
              <w:fldChar w:fldCharType="end"/>
            </w:r>
          </w:hyperlink>
        </w:p>
        <w:p w14:paraId="479750FE" w14:textId="0D84F5C7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6" w:history="1">
            <w:r w:rsidR="006A055D" w:rsidRPr="00252821">
              <w:rPr>
                <w:rStyle w:val="Hyperlink"/>
                <w:rFonts w:cs="Arial"/>
              </w:rPr>
              <w:t>C4</w:t>
            </w:r>
            <w:r w:rsidR="006A055D">
              <w:rPr>
                <w:rFonts w:asciiTheme="minorHAnsi" w:hAnsiTheme="minorHAnsi"/>
                <w:lang w:eastAsia="zh-CN"/>
              </w:rPr>
              <w:tab/>
            </w:r>
            <w:r w:rsidR="006A055D" w:rsidRPr="00252821">
              <w:rPr>
                <w:rStyle w:val="Hyperlink"/>
                <w:rFonts w:cs="Arial"/>
              </w:rPr>
              <w:t>Minor Change of Manufacturing Process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_Toc99038406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3</w:t>
            </w:r>
            <w:r w:rsidR="006A055D">
              <w:rPr>
                <w:webHidden/>
              </w:rPr>
              <w:fldChar w:fldCharType="end"/>
            </w:r>
          </w:hyperlink>
        </w:p>
        <w:p w14:paraId="130B0940" w14:textId="3EADDDBE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7" w:history="1">
            <w:r w:rsidR="006A055D" w:rsidRPr="00252821">
              <w:rPr>
                <w:rStyle w:val="Hyperlink"/>
                <w:rFonts w:cs="Arial"/>
              </w:rPr>
              <w:t>C5</w:t>
            </w:r>
            <w:r w:rsidR="006A055D">
              <w:rPr>
                <w:rFonts w:asciiTheme="minorHAnsi" w:hAnsiTheme="minorHAnsi"/>
                <w:lang w:eastAsia="zh-CN"/>
              </w:rPr>
              <w:tab/>
            </w:r>
            <w:r w:rsidR="006A055D" w:rsidRPr="00252821">
              <w:rPr>
                <w:rStyle w:val="Hyperlink"/>
                <w:rFonts w:cs="Arial"/>
              </w:rPr>
              <w:t>Change of Specification of Drug Substance, Drug Product, Process Intermediate and/or In-process Control Tests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_Toc99038407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4</w:t>
            </w:r>
            <w:r w:rsidR="006A055D">
              <w:rPr>
                <w:webHidden/>
              </w:rPr>
              <w:fldChar w:fldCharType="end"/>
            </w:r>
          </w:hyperlink>
        </w:p>
        <w:p w14:paraId="296EA216" w14:textId="5B375B7D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8" w:history="1">
            <w:r w:rsidR="006A055D" w:rsidRPr="00252821">
              <w:rPr>
                <w:rStyle w:val="Hyperlink"/>
                <w:rFonts w:cs="Arial"/>
              </w:rPr>
              <w:t xml:space="preserve">C6    </w:t>
            </w:r>
            <w:r w:rsidR="006A055D">
              <w:rPr>
                <w:rStyle w:val="Hyperlink"/>
                <w:rFonts w:cs="Arial"/>
              </w:rPr>
              <w:tab/>
            </w:r>
            <w:r w:rsidR="006A055D" w:rsidRPr="00252821">
              <w:rPr>
                <w:rStyle w:val="Hyperlink"/>
                <w:rFonts w:cs="Arial"/>
              </w:rPr>
              <w:t>Change of Colouring/Flavouring Agent of Drug Product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_Toc99038408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4</w:t>
            </w:r>
            <w:r w:rsidR="006A055D">
              <w:rPr>
                <w:webHidden/>
              </w:rPr>
              <w:fldChar w:fldCharType="end"/>
            </w:r>
          </w:hyperlink>
        </w:p>
        <w:p w14:paraId="144CE48F" w14:textId="49020AC4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09" w:history="1">
            <w:r w:rsidR="006A055D" w:rsidRPr="00252821">
              <w:rPr>
                <w:rStyle w:val="Hyperlink"/>
                <w:rFonts w:cs="Arial"/>
              </w:rPr>
              <w:t xml:space="preserve">C7    </w:t>
            </w:r>
            <w:r w:rsidR="006A055D">
              <w:rPr>
                <w:rStyle w:val="Hyperlink"/>
                <w:rFonts w:cs="Arial"/>
              </w:rPr>
              <w:tab/>
            </w:r>
            <w:r w:rsidR="006A055D" w:rsidRPr="00252821">
              <w:rPr>
                <w:rStyle w:val="Hyperlink"/>
                <w:rFonts w:cs="Arial"/>
              </w:rPr>
              <w:t>Deletion of Solvent/Diluent for Drug Product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_Toc99038409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5</w:t>
            </w:r>
            <w:r w:rsidR="006A055D">
              <w:rPr>
                <w:webHidden/>
              </w:rPr>
              <w:fldChar w:fldCharType="end"/>
            </w:r>
          </w:hyperlink>
        </w:p>
        <w:p w14:paraId="64E90F20" w14:textId="1C5822F7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0" w:history="1">
            <w:r w:rsidR="006A055D" w:rsidRPr="00252821">
              <w:rPr>
                <w:rStyle w:val="Hyperlink"/>
                <w:rFonts w:cs="Arial"/>
              </w:rPr>
              <w:t xml:space="preserve">C8   </w:t>
            </w:r>
            <w:r w:rsidR="006A055D">
              <w:rPr>
                <w:rStyle w:val="Hyperlink"/>
                <w:rFonts w:cs="Arial"/>
              </w:rPr>
              <w:tab/>
            </w:r>
            <w:r w:rsidR="006A055D" w:rsidRPr="00252821">
              <w:rPr>
                <w:rStyle w:val="Hyperlink"/>
                <w:rFonts w:cs="Arial"/>
              </w:rPr>
              <w:t>Change of Specification of Non-compendial Excipient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_Toc99038410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5</w:t>
            </w:r>
            <w:r w:rsidR="006A055D">
              <w:rPr>
                <w:webHidden/>
              </w:rPr>
              <w:fldChar w:fldCharType="end"/>
            </w:r>
          </w:hyperlink>
        </w:p>
        <w:p w14:paraId="5BF61BE9" w14:textId="0F594916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1" w:history="1">
            <w:r w:rsidR="006A055D" w:rsidRPr="00252821">
              <w:rPr>
                <w:rStyle w:val="Hyperlink"/>
                <w:rFonts w:cs="Arial"/>
              </w:rPr>
              <w:t xml:space="preserve">C9   </w:t>
            </w:r>
            <w:r w:rsidR="006A055D">
              <w:rPr>
                <w:rStyle w:val="Hyperlink"/>
                <w:rFonts w:cs="Arial"/>
              </w:rPr>
              <w:tab/>
            </w:r>
            <w:r w:rsidR="006A055D" w:rsidRPr="00252821">
              <w:rPr>
                <w:rStyle w:val="Hyperlink"/>
                <w:rFonts w:cs="Arial"/>
              </w:rPr>
              <w:t>Change in Primary Packaging Material for Non-sterile Drug Substance or Drug Product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_Toc99038411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6</w:t>
            </w:r>
            <w:r w:rsidR="006A055D">
              <w:rPr>
                <w:webHidden/>
              </w:rPr>
              <w:fldChar w:fldCharType="end"/>
            </w:r>
          </w:hyperlink>
        </w:p>
        <w:p w14:paraId="0B9998F5" w14:textId="227F01C3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2" w:history="1">
            <w:r w:rsidR="006A055D" w:rsidRPr="00252821">
              <w:rPr>
                <w:rStyle w:val="Hyperlink"/>
                <w:rFonts w:cs="Arial"/>
              </w:rPr>
              <w:t xml:space="preserve">C10  </w:t>
            </w:r>
            <w:r w:rsidR="004A2A44">
              <w:rPr>
                <w:rStyle w:val="Hyperlink"/>
                <w:rFonts w:cs="Arial"/>
              </w:rPr>
              <w:t xml:space="preserve"> </w:t>
            </w:r>
            <w:r w:rsidR="006A055D" w:rsidRPr="00252821">
              <w:rPr>
                <w:rStyle w:val="Hyperlink"/>
                <w:rFonts w:cs="Arial"/>
              </w:rPr>
              <w:t>Addition or Replacement of Manufacturer for Secondary Packaging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_Toc99038412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7</w:t>
            </w:r>
            <w:r w:rsidR="006A055D">
              <w:rPr>
                <w:webHidden/>
              </w:rPr>
              <w:fldChar w:fldCharType="end"/>
            </w:r>
          </w:hyperlink>
        </w:p>
        <w:p w14:paraId="1E8DA448" w14:textId="329BC341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3" w:history="1">
            <w:r w:rsidR="006A055D" w:rsidRPr="00252821">
              <w:rPr>
                <w:rStyle w:val="Hyperlink"/>
                <w:rFonts w:cs="Arial"/>
              </w:rPr>
              <w:t>C11   Replacement or Change of Working Cell/Seed Bank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_Toc99038413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7</w:t>
            </w:r>
            <w:r w:rsidR="006A055D">
              <w:rPr>
                <w:webHidden/>
              </w:rPr>
              <w:fldChar w:fldCharType="end"/>
            </w:r>
          </w:hyperlink>
        </w:p>
        <w:p w14:paraId="3AE41741" w14:textId="54EF47D9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4" w:history="1">
            <w:r w:rsidR="006A055D" w:rsidRPr="00252821">
              <w:rPr>
                <w:rStyle w:val="Hyperlink"/>
                <w:rFonts w:cs="Arial"/>
              </w:rPr>
              <w:t>C12</w:t>
            </w:r>
            <w:r w:rsidR="006A055D">
              <w:rPr>
                <w:rFonts w:asciiTheme="minorHAnsi" w:hAnsiTheme="minorHAnsi"/>
                <w:lang w:eastAsia="zh-CN"/>
              </w:rPr>
              <w:tab/>
            </w:r>
            <w:r w:rsidR="006A055D" w:rsidRPr="00252821">
              <w:rPr>
                <w:rStyle w:val="Hyperlink"/>
                <w:rFonts w:eastAsia="SimSun" w:cs="Arial"/>
              </w:rPr>
              <w:t>Minor Change of Test Procedure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_Toc99038414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8</w:t>
            </w:r>
            <w:r w:rsidR="006A055D">
              <w:rPr>
                <w:webHidden/>
              </w:rPr>
              <w:fldChar w:fldCharType="end"/>
            </w:r>
          </w:hyperlink>
        </w:p>
        <w:p w14:paraId="5B5CDBD3" w14:textId="12BB55E1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5" w:history="1">
            <w:r w:rsidR="006A055D" w:rsidRPr="00252821">
              <w:rPr>
                <w:rStyle w:val="Hyperlink"/>
                <w:rFonts w:cs="Arial"/>
              </w:rPr>
              <w:t>C13   Minor Change of Reference Standard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_Toc99038415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8</w:t>
            </w:r>
            <w:r w:rsidR="006A055D">
              <w:rPr>
                <w:webHidden/>
              </w:rPr>
              <w:fldChar w:fldCharType="end"/>
            </w:r>
          </w:hyperlink>
        </w:p>
        <w:p w14:paraId="146A04DF" w14:textId="01CCB256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6" w:history="1">
            <w:r w:rsidR="006A055D" w:rsidRPr="00252821">
              <w:rPr>
                <w:rStyle w:val="Hyperlink"/>
                <w:rFonts w:cs="Arial"/>
              </w:rPr>
              <w:t>C14   Change in Supplier of Animal-derived Material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_Toc99038416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9</w:t>
            </w:r>
            <w:r w:rsidR="006A055D">
              <w:rPr>
                <w:webHidden/>
              </w:rPr>
              <w:fldChar w:fldCharType="end"/>
            </w:r>
          </w:hyperlink>
        </w:p>
        <w:p w14:paraId="4249A2F9" w14:textId="667A0073" w:rsidR="006A055D" w:rsidRDefault="00CC02C5" w:rsidP="004A2A44">
          <w:pPr>
            <w:pStyle w:val="TOC2"/>
            <w:rPr>
              <w:rFonts w:asciiTheme="minorHAnsi" w:hAnsiTheme="minorHAnsi"/>
              <w:lang w:eastAsia="zh-CN"/>
            </w:rPr>
          </w:pPr>
          <w:hyperlink w:anchor="_Toc99038417" w:history="1">
            <w:r w:rsidR="006A055D" w:rsidRPr="00252821">
              <w:rPr>
                <w:rStyle w:val="Hyperlink"/>
                <w:rFonts w:cs="Arial"/>
              </w:rPr>
              <w:t>C15   Change in Species of Animal-derived Material</w:t>
            </w:r>
            <w:r w:rsidR="006A055D">
              <w:rPr>
                <w:webHidden/>
              </w:rPr>
              <w:tab/>
            </w:r>
            <w:r w:rsidR="006A055D">
              <w:rPr>
                <w:webHidden/>
              </w:rPr>
              <w:fldChar w:fldCharType="begin"/>
            </w:r>
            <w:r w:rsidR="006A055D">
              <w:rPr>
                <w:webHidden/>
              </w:rPr>
              <w:instrText xml:space="preserve"> PAGEREF _Toc99038417 \h </w:instrText>
            </w:r>
            <w:r w:rsidR="006A055D">
              <w:rPr>
                <w:webHidden/>
              </w:rPr>
            </w:r>
            <w:r w:rsidR="006A055D">
              <w:rPr>
                <w:webHidden/>
              </w:rPr>
              <w:fldChar w:fldCharType="separate"/>
            </w:r>
            <w:r w:rsidR="00D95E92">
              <w:rPr>
                <w:webHidden/>
              </w:rPr>
              <w:t>9</w:t>
            </w:r>
            <w:r w:rsidR="006A055D">
              <w:rPr>
                <w:webHidden/>
              </w:rPr>
              <w:fldChar w:fldCharType="end"/>
            </w:r>
          </w:hyperlink>
        </w:p>
        <w:p w14:paraId="2AA702FA" w14:textId="1DFDFAA2" w:rsidR="00EC7A63" w:rsidRDefault="00EC7A63" w:rsidP="00BD4F46">
          <w:pPr>
            <w:spacing w:after="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939E46C" w14:textId="0E038945" w:rsidR="00EC7A63" w:rsidRDefault="00EC7A63" w:rsidP="004F2EB4">
      <w:pPr>
        <w:pStyle w:val="ChapterHeading1"/>
        <w:numPr>
          <w:ilvl w:val="0"/>
          <w:numId w:val="0"/>
        </w:numPr>
        <w:ind w:left="1064" w:hanging="1064"/>
        <w:outlineLvl w:val="1"/>
        <w:rPr>
          <w:sz w:val="22"/>
          <w:szCs w:val="22"/>
        </w:rPr>
      </w:pPr>
    </w:p>
    <w:p w14:paraId="26F9AD37" w14:textId="77777777" w:rsidR="00EC7A63" w:rsidRDefault="00EC7A63">
      <w:pPr>
        <w:spacing w:after="200"/>
        <w:jc w:val="left"/>
        <w:rPr>
          <w:rFonts w:cs="Arial"/>
          <w:b/>
        </w:rPr>
      </w:pPr>
      <w:r>
        <w:br w:type="page"/>
      </w:r>
    </w:p>
    <w:bookmarkEnd w:id="0"/>
    <w:p w14:paraId="15375460" w14:textId="4D9CD63E" w:rsidR="00997948" w:rsidRPr="00FF35D8" w:rsidRDefault="00997948" w:rsidP="00FF35D8">
      <w:pPr>
        <w:pStyle w:val="ChapterHeading1"/>
        <w:numPr>
          <w:ilvl w:val="0"/>
          <w:numId w:val="0"/>
        </w:numPr>
        <w:spacing w:line="240" w:lineRule="auto"/>
        <w:ind w:left="1064" w:hanging="1064"/>
        <w:contextualSpacing w:val="0"/>
        <w:outlineLvl w:val="1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3B67E640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892" w14:textId="77777777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24" w:name="_Toc361039811"/>
            <w:bookmarkStart w:id="25" w:name="_Toc361039981"/>
            <w:bookmarkStart w:id="26" w:name="_Toc361040024"/>
            <w:bookmarkStart w:id="27" w:name="_Toc376178617"/>
            <w:bookmarkStart w:id="28" w:name="_Toc534897209"/>
            <w:bookmarkStart w:id="29" w:name="_Toc99038403"/>
            <w:bookmarkStart w:id="30" w:name="MiV_PA1" w:colFirst="1" w:colLast="1"/>
            <w:r w:rsidRPr="00FF35D8">
              <w:rPr>
                <w:rFonts w:cs="Arial"/>
                <w:sz w:val="22"/>
              </w:rPr>
              <w:t>C1</w:t>
            </w:r>
            <w:r w:rsidRPr="00FF35D8">
              <w:rPr>
                <w:rFonts w:cs="Arial"/>
                <w:sz w:val="22"/>
              </w:rPr>
              <w:tab/>
              <w:t xml:space="preserve">Change of </w:t>
            </w:r>
            <w:r w:rsidR="00FF2000" w:rsidRPr="00FF35D8">
              <w:rPr>
                <w:rFonts w:cs="Arial"/>
                <w:sz w:val="22"/>
              </w:rPr>
              <w:t>D</w:t>
            </w:r>
            <w:r w:rsidRPr="00FF35D8">
              <w:rPr>
                <w:rFonts w:cs="Arial"/>
                <w:sz w:val="22"/>
              </w:rPr>
              <w:t xml:space="preserve">rug </w:t>
            </w:r>
            <w:r w:rsidR="00FF2000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 xml:space="preserve">roduct </w:t>
            </w:r>
            <w:r w:rsidR="00FF2000" w:rsidRPr="00FF35D8">
              <w:rPr>
                <w:rFonts w:cs="Arial"/>
                <w:sz w:val="22"/>
              </w:rPr>
              <w:t>N</w:t>
            </w:r>
            <w:r w:rsidRPr="00FF35D8">
              <w:rPr>
                <w:rFonts w:cs="Arial"/>
                <w:sz w:val="22"/>
              </w:rPr>
              <w:t>ame</w:t>
            </w:r>
            <w:bookmarkEnd w:id="24"/>
            <w:bookmarkEnd w:id="25"/>
            <w:bookmarkEnd w:id="26"/>
            <w:bookmarkEnd w:id="27"/>
            <w:bookmarkEnd w:id="28"/>
            <w:bookmarkEnd w:id="29"/>
            <w:r w:rsidRPr="00FF35D8">
              <w:rPr>
                <w:rFonts w:cs="Arial"/>
                <w:sz w:val="22"/>
              </w:rPr>
              <w:t xml:space="preserve"> </w:t>
            </w:r>
          </w:p>
        </w:tc>
      </w:tr>
      <w:bookmarkEnd w:id="30"/>
      <w:tr w:rsidR="0074308E" w:rsidRPr="00FF35D8" w14:paraId="370DFE19" w14:textId="77777777" w:rsidTr="00CC02C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D98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99D" w14:textId="3807A746" w:rsidR="0074308E" w:rsidRPr="00FF35D8" w:rsidRDefault="0074308E" w:rsidP="00FF35D8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 xml:space="preserve">There is no change to the </w:t>
            </w:r>
            <w:r w:rsidR="006A78BF" w:rsidRPr="00FF35D8">
              <w:rPr>
                <w:rFonts w:cs="Arial"/>
              </w:rPr>
              <w:t xml:space="preserve">drug </w:t>
            </w:r>
            <w:r w:rsidRPr="00FF35D8">
              <w:rPr>
                <w:rFonts w:cs="Arial"/>
              </w:rPr>
              <w:t>product (formulation, release and shelf-life specifications, manufacturing source an</w:t>
            </w:r>
            <w:r w:rsidR="00E02A65" w:rsidRPr="00FF35D8">
              <w:rPr>
                <w:rFonts w:cs="Arial"/>
              </w:rPr>
              <w:t>d p</w:t>
            </w:r>
            <w:r w:rsidRPr="00FF35D8">
              <w:rPr>
                <w:rFonts w:cs="Arial"/>
              </w:rPr>
              <w:t xml:space="preserve">rocess) except for the </w:t>
            </w:r>
            <w:r w:rsidR="006A78BF" w:rsidRPr="00FF35D8">
              <w:rPr>
                <w:rFonts w:cs="Arial"/>
              </w:rPr>
              <w:t xml:space="preserve">drug </w:t>
            </w:r>
            <w:r w:rsidRPr="00FF35D8">
              <w:rPr>
                <w:rFonts w:cs="Arial"/>
              </w:rPr>
              <w:t>product name change.</w:t>
            </w:r>
          </w:p>
          <w:p w14:paraId="48518B1E" w14:textId="77777777" w:rsidR="0074308E" w:rsidRPr="00FF35D8" w:rsidRDefault="0074308E" w:rsidP="00FF35D8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No confusion with another drug product either when spoken or written.</w:t>
            </w:r>
          </w:p>
          <w:p w14:paraId="7B52EAFE" w14:textId="4AEBF5E0" w:rsidR="0074308E" w:rsidRPr="00FF35D8" w:rsidRDefault="0074308E" w:rsidP="00FF35D8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 xml:space="preserve">The </w:t>
            </w:r>
            <w:r w:rsidR="00073C60" w:rsidRPr="00FF35D8">
              <w:rPr>
                <w:rFonts w:cs="Arial"/>
              </w:rPr>
              <w:t>proposed</w:t>
            </w:r>
            <w:r w:rsidRPr="00FF35D8">
              <w:rPr>
                <w:rFonts w:cs="Arial"/>
              </w:rPr>
              <w:t xml:space="preserve"> name does not (</w:t>
            </w:r>
            <w:proofErr w:type="spellStart"/>
            <w:r w:rsidRPr="00FF35D8">
              <w:rPr>
                <w:rFonts w:cs="Arial"/>
              </w:rPr>
              <w:t>i</w:t>
            </w:r>
            <w:proofErr w:type="spellEnd"/>
            <w:r w:rsidRPr="00FF35D8">
              <w:rPr>
                <w:rFonts w:cs="Arial"/>
              </w:rPr>
              <w:t>) suggest greater safety or efficacy than supported by clinical data</w:t>
            </w:r>
            <w:r w:rsidR="00DB2081" w:rsidRPr="00FF35D8">
              <w:rPr>
                <w:rFonts w:cs="Arial"/>
              </w:rPr>
              <w:t>;</w:t>
            </w:r>
            <w:r w:rsidRPr="00FF35D8">
              <w:rPr>
                <w:rFonts w:cs="Arial"/>
              </w:rPr>
              <w:t xml:space="preserve"> (ii) imply a therapeutic use</w:t>
            </w:r>
            <w:r w:rsidR="00DB2081" w:rsidRPr="00FF35D8">
              <w:rPr>
                <w:rFonts w:cs="Arial"/>
              </w:rPr>
              <w:t>;</w:t>
            </w:r>
            <w:r w:rsidRPr="00FF35D8">
              <w:rPr>
                <w:rFonts w:cs="Arial"/>
              </w:rPr>
              <w:t xml:space="preserve"> (iii) imply superiority over another similar product</w:t>
            </w:r>
            <w:r w:rsidR="00DB2081" w:rsidRPr="00FF35D8">
              <w:rPr>
                <w:rFonts w:cs="Arial"/>
              </w:rPr>
              <w:t>;</w:t>
            </w:r>
            <w:r w:rsidRPr="00FF35D8">
              <w:rPr>
                <w:rFonts w:cs="Arial"/>
              </w:rPr>
              <w:t xml:space="preserve"> and (iv) imply the presence of substance(s) not present in the product.</w:t>
            </w:r>
          </w:p>
        </w:tc>
      </w:tr>
      <w:tr w:rsidR="0074308E" w:rsidRPr="00FF35D8" w14:paraId="3D3878F2" w14:textId="77777777" w:rsidTr="00CC02C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73F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E45" w14:textId="77777777" w:rsidR="0074308E" w:rsidRPr="00FF35D8" w:rsidRDefault="0074308E" w:rsidP="00FF35D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Revised draft</w:t>
            </w:r>
            <w:r w:rsidR="00E02A65" w:rsidRPr="00FF35D8">
              <w:rPr>
                <w:rFonts w:ascii="Arial" w:hAnsi="Arial" w:cs="Arial"/>
              </w:rPr>
              <w:t>s of the</w:t>
            </w:r>
            <w:r w:rsidRPr="00FF35D8">
              <w:rPr>
                <w:rFonts w:ascii="Arial" w:hAnsi="Arial" w:cs="Arial"/>
              </w:rPr>
              <w:t xml:space="preserve"> package insert and labelling incorporating the proposed variation.</w:t>
            </w:r>
          </w:p>
          <w:p w14:paraId="47A21AB9" w14:textId="77777777" w:rsidR="0074308E" w:rsidRPr="00FF35D8" w:rsidRDefault="0074308E" w:rsidP="00FF35D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Updated Certificate of Pharmaceutical Product (CPP) (where applicable).</w:t>
            </w:r>
          </w:p>
          <w:p w14:paraId="30E7F636" w14:textId="2E4A767B" w:rsidR="0074308E" w:rsidRPr="00FF35D8" w:rsidRDefault="00073C60" w:rsidP="00FF35D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An o</w:t>
            </w:r>
            <w:r w:rsidR="0074308E" w:rsidRPr="00FF35D8">
              <w:rPr>
                <w:rFonts w:ascii="Arial" w:hAnsi="Arial" w:cs="Arial"/>
              </w:rPr>
              <w:t xml:space="preserve">fficial letter from </w:t>
            </w:r>
            <w:r w:rsidRPr="00FF35D8">
              <w:rPr>
                <w:rFonts w:ascii="Arial" w:hAnsi="Arial" w:cs="Arial"/>
              </w:rPr>
              <w:t xml:space="preserve">the </w:t>
            </w:r>
            <w:r w:rsidR="0074308E" w:rsidRPr="00FF35D8">
              <w:rPr>
                <w:rFonts w:ascii="Arial" w:hAnsi="Arial" w:cs="Arial"/>
              </w:rPr>
              <w:t xml:space="preserve">product owner or </w:t>
            </w:r>
            <w:r w:rsidR="00B5753D" w:rsidRPr="00FF35D8">
              <w:rPr>
                <w:rFonts w:ascii="Arial" w:hAnsi="Arial" w:cs="Arial"/>
              </w:rPr>
              <w:t>product registrant</w:t>
            </w:r>
            <w:r w:rsidR="0074308E" w:rsidRPr="00FF35D8">
              <w:rPr>
                <w:rFonts w:ascii="Arial" w:hAnsi="Arial" w:cs="Arial"/>
              </w:rPr>
              <w:t xml:space="preserve"> authori</w:t>
            </w:r>
            <w:r w:rsidR="00E02A65" w:rsidRPr="00FF35D8">
              <w:rPr>
                <w:rFonts w:ascii="Arial" w:hAnsi="Arial" w:cs="Arial"/>
              </w:rPr>
              <w:t>s</w:t>
            </w:r>
            <w:r w:rsidR="0074308E" w:rsidRPr="00FF35D8">
              <w:rPr>
                <w:rFonts w:ascii="Arial" w:hAnsi="Arial" w:cs="Arial"/>
              </w:rPr>
              <w:t xml:space="preserve">ing the change of </w:t>
            </w:r>
            <w:r w:rsidR="006A78BF" w:rsidRPr="00FF35D8">
              <w:rPr>
                <w:rFonts w:ascii="Arial" w:hAnsi="Arial" w:cs="Arial"/>
              </w:rPr>
              <w:t xml:space="preserve">drug </w:t>
            </w:r>
            <w:r w:rsidR="0074308E" w:rsidRPr="00FF35D8">
              <w:rPr>
                <w:rFonts w:ascii="Arial" w:hAnsi="Arial" w:cs="Arial"/>
              </w:rPr>
              <w:t>product name and committing to inform users of the relevant changes (where applicable).</w:t>
            </w:r>
          </w:p>
          <w:p w14:paraId="4DDD48A3" w14:textId="77777777" w:rsidR="0074308E" w:rsidRPr="00FF35D8" w:rsidRDefault="0074308E" w:rsidP="00FF35D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A declaration from the </w:t>
            </w:r>
            <w:r w:rsidR="00B5753D" w:rsidRPr="00FF35D8">
              <w:rPr>
                <w:rFonts w:ascii="Arial" w:hAnsi="Arial" w:cs="Arial"/>
              </w:rPr>
              <w:t>product registrant</w:t>
            </w:r>
            <w:r w:rsidRPr="00FF35D8">
              <w:rPr>
                <w:rFonts w:ascii="Arial" w:hAnsi="Arial" w:cs="Arial"/>
              </w:rPr>
              <w:t xml:space="preserve"> that there </w:t>
            </w:r>
            <w:proofErr w:type="gramStart"/>
            <w:r w:rsidRPr="00FF35D8">
              <w:rPr>
                <w:rFonts w:ascii="Arial" w:hAnsi="Arial" w:cs="Arial"/>
              </w:rPr>
              <w:t>is</w:t>
            </w:r>
            <w:proofErr w:type="gramEnd"/>
            <w:r w:rsidRPr="00FF35D8">
              <w:rPr>
                <w:rFonts w:ascii="Arial" w:hAnsi="Arial" w:cs="Arial"/>
              </w:rPr>
              <w:t xml:space="preserve"> no other changes to the product/label except for the drug product name change.</w:t>
            </w:r>
          </w:p>
        </w:tc>
      </w:tr>
    </w:tbl>
    <w:p w14:paraId="0EE1AE70" w14:textId="77777777" w:rsidR="00776599" w:rsidRPr="00FF35D8" w:rsidRDefault="00776599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7752014C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02EDB1A5" w14:textId="517146C3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31" w:name="MiV_PA2" w:colFirst="1" w:colLast="1"/>
            <w:r w:rsidRPr="00FF35D8">
              <w:rPr>
                <w:rFonts w:cs="Arial"/>
                <w:sz w:val="22"/>
              </w:rPr>
              <w:br w:type="page"/>
            </w:r>
            <w:bookmarkStart w:id="32" w:name="_Toc361039812"/>
            <w:bookmarkStart w:id="33" w:name="_Toc361039982"/>
            <w:bookmarkStart w:id="34" w:name="_Toc361040025"/>
            <w:bookmarkStart w:id="35" w:name="_Toc376178618"/>
            <w:bookmarkStart w:id="36" w:name="_Toc534897210"/>
            <w:bookmarkStart w:id="37" w:name="_Toc99038404"/>
            <w:r w:rsidRPr="00FF35D8">
              <w:rPr>
                <w:rFonts w:cs="Arial"/>
                <w:sz w:val="22"/>
              </w:rPr>
              <w:t>C2</w:t>
            </w:r>
            <w:r w:rsidRPr="00FF35D8">
              <w:rPr>
                <w:rFonts w:cs="Arial"/>
                <w:sz w:val="22"/>
              </w:rPr>
              <w:tab/>
              <w:t xml:space="preserve">Change of </w:t>
            </w:r>
            <w:r w:rsidR="005468EA" w:rsidRPr="00FF35D8">
              <w:rPr>
                <w:rFonts w:cs="Arial"/>
                <w:sz w:val="22"/>
              </w:rPr>
              <w:t xml:space="preserve">Content of </w:t>
            </w:r>
            <w:r w:rsidR="003D02D2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 xml:space="preserve">roduct </w:t>
            </w:r>
            <w:bookmarkEnd w:id="32"/>
            <w:bookmarkEnd w:id="33"/>
            <w:bookmarkEnd w:id="34"/>
            <w:bookmarkEnd w:id="35"/>
            <w:r w:rsidR="003D02D2" w:rsidRPr="00FF35D8">
              <w:rPr>
                <w:rFonts w:cs="Arial"/>
                <w:sz w:val="22"/>
              </w:rPr>
              <w:t>L</w:t>
            </w:r>
            <w:r w:rsidRPr="00FF35D8">
              <w:rPr>
                <w:rFonts w:cs="Arial"/>
                <w:sz w:val="22"/>
              </w:rPr>
              <w:t>abelling</w:t>
            </w:r>
            <w:bookmarkEnd w:id="36"/>
            <w:bookmarkEnd w:id="37"/>
            <w:r w:rsidRPr="00FF35D8">
              <w:rPr>
                <w:rFonts w:cs="Arial"/>
                <w:sz w:val="22"/>
              </w:rPr>
              <w:t xml:space="preserve"> </w:t>
            </w:r>
          </w:p>
          <w:p w14:paraId="0966C238" w14:textId="14EFEBD0" w:rsidR="00E72DFF" w:rsidRPr="00FF35D8" w:rsidRDefault="00E72DFF" w:rsidP="00FF35D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96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Addition or amendment of warnings, precautions, contraindications</w:t>
            </w:r>
            <w:r w:rsidR="00F0129D" w:rsidRPr="00FF35D8">
              <w:rPr>
                <w:rFonts w:ascii="Arial" w:hAnsi="Arial" w:cs="Arial"/>
              </w:rPr>
              <w:t>,</w:t>
            </w:r>
            <w:r w:rsidRPr="00FF35D8">
              <w:rPr>
                <w:rFonts w:ascii="Arial" w:hAnsi="Arial" w:cs="Arial"/>
              </w:rPr>
              <w:t xml:space="preserve"> drug interactions, overdose and/or adverse events that results in strengthening of safety information or restriction of use.</w:t>
            </w:r>
          </w:p>
          <w:p w14:paraId="463586F4" w14:textId="5C28CA5E" w:rsidR="00E72DFF" w:rsidRPr="00FF35D8" w:rsidRDefault="00E72DFF" w:rsidP="00FF35D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96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  <w:lang w:val="en-US"/>
              </w:rPr>
              <w:t>Addition or amendment of information on “Instructions for Use” for products with special delivery system/device (e.g.</w:t>
            </w:r>
            <w:r w:rsidR="00B13432" w:rsidRPr="00FF35D8">
              <w:rPr>
                <w:rFonts w:ascii="Arial" w:hAnsi="Arial" w:cs="Arial"/>
                <w:lang w:val="en-US"/>
              </w:rPr>
              <w:t>,</w:t>
            </w:r>
            <w:r w:rsidRPr="00FF35D8">
              <w:rPr>
                <w:rFonts w:ascii="Arial" w:hAnsi="Arial" w:cs="Arial"/>
                <w:lang w:val="en-US"/>
              </w:rPr>
              <w:t xml:space="preserve"> transdermal patches, inhalers, prefilled syringes etc</w:t>
            </w:r>
            <w:r w:rsidR="0036728D" w:rsidRPr="00FF35D8">
              <w:rPr>
                <w:rFonts w:ascii="Arial" w:hAnsi="Arial" w:cs="Arial"/>
                <w:lang w:val="en-US"/>
              </w:rPr>
              <w:t>.</w:t>
            </w:r>
            <w:r w:rsidRPr="00FF35D8">
              <w:rPr>
                <w:rFonts w:ascii="Arial" w:hAnsi="Arial" w:cs="Arial"/>
                <w:lang w:val="en-US"/>
              </w:rPr>
              <w:t>)</w:t>
            </w:r>
            <w:r w:rsidR="00323936" w:rsidRPr="00FF35D8">
              <w:rPr>
                <w:rFonts w:ascii="Arial" w:hAnsi="Arial" w:cs="Arial"/>
                <w:lang w:val="en-US"/>
              </w:rPr>
              <w:t>.</w:t>
            </w:r>
          </w:p>
          <w:p w14:paraId="0E8729B7" w14:textId="77777777" w:rsidR="00E72DFF" w:rsidRPr="00FF35D8" w:rsidRDefault="00E72DFF" w:rsidP="00FF35D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962"/>
              <w:jc w:val="left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Tightening of product’s target population.</w:t>
            </w:r>
          </w:p>
          <w:p w14:paraId="72581A9C" w14:textId="77777777" w:rsidR="00E72DFF" w:rsidRPr="00FF35D8" w:rsidRDefault="00E72DFF" w:rsidP="00FF35D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962"/>
              <w:jc w:val="left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Deletion of indication.</w:t>
            </w:r>
          </w:p>
          <w:p w14:paraId="17D59216" w14:textId="2B123A8E" w:rsidR="00E72DFF" w:rsidRPr="00FF35D8" w:rsidRDefault="00B13432" w:rsidP="00FF35D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959" w:hanging="35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  <w:lang w:val="en-US"/>
              </w:rPr>
              <w:t xml:space="preserve">Minor change of content of product labelling that </w:t>
            </w:r>
            <w:r w:rsidR="000C099F" w:rsidRPr="00FF35D8">
              <w:rPr>
                <w:rFonts w:ascii="Arial" w:hAnsi="Arial" w:cs="Arial"/>
                <w:lang w:val="en-US"/>
              </w:rPr>
              <w:t>do</w:t>
            </w:r>
            <w:r w:rsidRPr="00FF35D8">
              <w:rPr>
                <w:rFonts w:ascii="Arial" w:hAnsi="Arial" w:cs="Arial"/>
                <w:lang w:val="en-US"/>
              </w:rPr>
              <w:t>es</w:t>
            </w:r>
            <w:r w:rsidR="000C099F" w:rsidRPr="00FF35D8">
              <w:rPr>
                <w:rFonts w:ascii="Arial" w:hAnsi="Arial" w:cs="Arial"/>
                <w:lang w:val="en-US"/>
              </w:rPr>
              <w:t xml:space="preserve"> not have any</w:t>
            </w:r>
            <w:r w:rsidR="00E72DFF" w:rsidRPr="00FF35D8">
              <w:rPr>
                <w:rFonts w:ascii="Arial" w:hAnsi="Arial" w:cs="Arial"/>
                <w:lang w:val="en-US"/>
              </w:rPr>
              <w:t xml:space="preserve"> impact on </w:t>
            </w:r>
            <w:r w:rsidRPr="00FF35D8">
              <w:rPr>
                <w:rFonts w:ascii="Arial" w:hAnsi="Arial" w:cs="Arial"/>
                <w:lang w:val="en-US"/>
              </w:rPr>
              <w:t>the</w:t>
            </w:r>
            <w:r w:rsidR="00E90F24" w:rsidRPr="00FF35D8">
              <w:rPr>
                <w:rFonts w:ascii="Arial" w:hAnsi="Arial" w:cs="Arial"/>
                <w:lang w:val="en-US"/>
              </w:rPr>
              <w:t xml:space="preserve"> product’s</w:t>
            </w:r>
            <w:r w:rsidRPr="00FF35D8">
              <w:rPr>
                <w:rFonts w:ascii="Arial" w:hAnsi="Arial" w:cs="Arial"/>
                <w:lang w:val="en-US"/>
              </w:rPr>
              <w:t xml:space="preserve"> </w:t>
            </w:r>
            <w:r w:rsidR="00E72DFF" w:rsidRPr="00FF35D8">
              <w:rPr>
                <w:rFonts w:ascii="Arial" w:hAnsi="Arial" w:cs="Arial"/>
                <w:lang w:val="en-US"/>
              </w:rPr>
              <w:t xml:space="preserve">safety, </w:t>
            </w:r>
            <w:proofErr w:type="gramStart"/>
            <w:r w:rsidR="00E72DFF" w:rsidRPr="00FF35D8">
              <w:rPr>
                <w:rFonts w:ascii="Arial" w:hAnsi="Arial" w:cs="Arial"/>
                <w:lang w:val="en-US"/>
              </w:rPr>
              <w:t>efficacy</w:t>
            </w:r>
            <w:proofErr w:type="gramEnd"/>
            <w:r w:rsidR="00E72DFF" w:rsidRPr="00FF35D8">
              <w:rPr>
                <w:rFonts w:ascii="Arial" w:hAnsi="Arial" w:cs="Arial"/>
                <w:lang w:val="en-US"/>
              </w:rPr>
              <w:t xml:space="preserve"> and qualit</w:t>
            </w:r>
            <w:r w:rsidR="000C099F" w:rsidRPr="00FF35D8">
              <w:rPr>
                <w:rFonts w:ascii="Arial" w:hAnsi="Arial" w:cs="Arial"/>
                <w:lang w:val="en-US"/>
              </w:rPr>
              <w:t xml:space="preserve">y. </w:t>
            </w:r>
          </w:p>
        </w:tc>
      </w:tr>
      <w:bookmarkEnd w:id="31"/>
      <w:tr w:rsidR="0074308E" w:rsidRPr="00FF35D8" w14:paraId="52E80856" w14:textId="77777777" w:rsidTr="004F3F2A">
        <w:tc>
          <w:tcPr>
            <w:tcW w:w="279" w:type="dxa"/>
          </w:tcPr>
          <w:p w14:paraId="2008C05D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4899E4B6" w14:textId="0522DFBA" w:rsidR="0074308E" w:rsidRPr="00FF35D8" w:rsidRDefault="00B13432" w:rsidP="00FF35D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The change is not listed in MIV-2 D13.</w:t>
            </w:r>
          </w:p>
        </w:tc>
      </w:tr>
      <w:tr w:rsidR="0074308E" w:rsidRPr="00FF35D8" w14:paraId="7B06152E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2A94AC80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24AA7B80" w14:textId="0D761672" w:rsidR="0074308E" w:rsidRPr="00FF35D8" w:rsidRDefault="00ED7B4E" w:rsidP="00FF35D8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A</w:t>
            </w:r>
            <w:r w:rsidR="0074308E" w:rsidRPr="00FF35D8">
              <w:rPr>
                <w:rFonts w:cs="Arial"/>
              </w:rPr>
              <w:t>pproved product labe</w:t>
            </w:r>
            <w:r w:rsidR="003D02D2" w:rsidRPr="00FF35D8">
              <w:rPr>
                <w:rFonts w:cs="Arial"/>
              </w:rPr>
              <w:t>l</w:t>
            </w:r>
            <w:r w:rsidR="0074308E" w:rsidRPr="00FF35D8">
              <w:rPr>
                <w:rFonts w:cs="Arial"/>
              </w:rPr>
              <w:t>ling.</w:t>
            </w:r>
          </w:p>
          <w:p w14:paraId="3B509E8A" w14:textId="349C594A" w:rsidR="0074308E" w:rsidRPr="00FF35D8" w:rsidRDefault="0074308E" w:rsidP="00FF35D8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Proposed product labe</w:t>
            </w:r>
            <w:r w:rsidR="003D02D2" w:rsidRPr="00FF35D8">
              <w:rPr>
                <w:rFonts w:cs="Arial"/>
              </w:rPr>
              <w:t>l</w:t>
            </w:r>
            <w:r w:rsidRPr="00FF35D8">
              <w:rPr>
                <w:rFonts w:cs="Arial"/>
              </w:rPr>
              <w:t>ling</w:t>
            </w:r>
            <w:r w:rsidR="00F0129D" w:rsidRPr="00FF35D8">
              <w:rPr>
                <w:rFonts w:cs="Arial"/>
              </w:rPr>
              <w:t xml:space="preserve">: </w:t>
            </w:r>
            <w:r w:rsidRPr="00FF35D8">
              <w:rPr>
                <w:rFonts w:cs="Arial"/>
              </w:rPr>
              <w:t xml:space="preserve">a </w:t>
            </w:r>
            <w:r w:rsidR="00F0129D" w:rsidRPr="00FF35D8">
              <w:rPr>
                <w:rFonts w:cs="Arial"/>
              </w:rPr>
              <w:t xml:space="preserve">pristine </w:t>
            </w:r>
            <w:r w:rsidRPr="00FF35D8">
              <w:rPr>
                <w:rFonts w:cs="Arial"/>
              </w:rPr>
              <w:t>and annotated version highlighting the changes made.</w:t>
            </w:r>
          </w:p>
          <w:p w14:paraId="676DD15F" w14:textId="0D604CC0" w:rsidR="002C070E" w:rsidRPr="00FF35D8" w:rsidRDefault="0074308E" w:rsidP="00FF35D8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 xml:space="preserve">Relevant document/reference </w:t>
            </w:r>
            <w:r w:rsidR="005468EA" w:rsidRPr="00FF35D8">
              <w:rPr>
                <w:rFonts w:cs="Arial"/>
              </w:rPr>
              <w:t xml:space="preserve">or justification </w:t>
            </w:r>
            <w:r w:rsidRPr="00FF35D8">
              <w:rPr>
                <w:rFonts w:cs="Arial"/>
              </w:rPr>
              <w:t>to support the changes (where applicable).</w:t>
            </w:r>
          </w:p>
        </w:tc>
      </w:tr>
    </w:tbl>
    <w:p w14:paraId="33678697" w14:textId="77777777" w:rsidR="0074308E" w:rsidRPr="00FF35D8" w:rsidRDefault="0074308E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2D5E7AFF" w14:textId="77777777" w:rsidTr="0074308E">
        <w:trPr>
          <w:trHeight w:val="492"/>
        </w:trPr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7C0A2C9D" w14:textId="08FC1FE1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tabs>
                <w:tab w:val="left" w:pos="598"/>
              </w:tabs>
              <w:spacing w:line="240" w:lineRule="auto"/>
              <w:ind w:left="740" w:hanging="740"/>
              <w:rPr>
                <w:rFonts w:cs="Arial"/>
                <w:sz w:val="22"/>
              </w:rPr>
            </w:pPr>
            <w:bookmarkStart w:id="38" w:name="MiV_PA3" w:colFirst="1" w:colLast="1"/>
            <w:r w:rsidRPr="00FF35D8">
              <w:rPr>
                <w:rFonts w:cs="Arial"/>
                <w:sz w:val="22"/>
              </w:rPr>
              <w:br w:type="page"/>
            </w:r>
            <w:bookmarkStart w:id="39" w:name="_Toc361039814"/>
            <w:bookmarkStart w:id="40" w:name="_Toc361039984"/>
            <w:bookmarkStart w:id="41" w:name="_Toc361040027"/>
            <w:bookmarkStart w:id="42" w:name="_Toc376178619"/>
            <w:bookmarkStart w:id="43" w:name="_Toc534897211"/>
            <w:bookmarkStart w:id="44" w:name="_Toc99038405"/>
            <w:r w:rsidRPr="00FF35D8">
              <w:rPr>
                <w:rFonts w:cs="Arial"/>
                <w:sz w:val="22"/>
              </w:rPr>
              <w:t>C3</w:t>
            </w:r>
            <w:r w:rsidR="00D0582A" w:rsidRPr="00FF35D8">
              <w:rPr>
                <w:rFonts w:cs="Arial"/>
                <w:sz w:val="22"/>
              </w:rPr>
              <w:t xml:space="preserve">    </w:t>
            </w:r>
            <w:r w:rsidR="003D02D2" w:rsidRPr="00FF35D8">
              <w:rPr>
                <w:rFonts w:cs="Arial"/>
                <w:sz w:val="22"/>
              </w:rPr>
              <w:t>Addition or R</w:t>
            </w:r>
            <w:r w:rsidRPr="00FF35D8">
              <w:rPr>
                <w:rFonts w:cs="Arial"/>
                <w:sz w:val="22"/>
              </w:rPr>
              <w:t xml:space="preserve">eplacement of </w:t>
            </w:r>
            <w:r w:rsidR="003D02D2" w:rsidRPr="00FF35D8">
              <w:rPr>
                <w:rFonts w:cs="Arial"/>
                <w:sz w:val="22"/>
              </w:rPr>
              <w:t>Company</w:t>
            </w:r>
            <w:r w:rsidR="00E02A65" w:rsidRPr="00FF35D8">
              <w:rPr>
                <w:rFonts w:cs="Arial"/>
                <w:sz w:val="22"/>
              </w:rPr>
              <w:t xml:space="preserve"> or Party Responsible for Batch </w:t>
            </w:r>
            <w:r w:rsidR="003D02D2" w:rsidRPr="00FF35D8">
              <w:rPr>
                <w:rFonts w:cs="Arial"/>
                <w:sz w:val="22"/>
              </w:rPr>
              <w:t>R</w:t>
            </w:r>
            <w:r w:rsidRPr="00FF35D8">
              <w:rPr>
                <w:rFonts w:cs="Arial"/>
                <w:sz w:val="22"/>
              </w:rPr>
              <w:t>elease</w:t>
            </w:r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8"/>
      <w:tr w:rsidR="0074308E" w:rsidRPr="00FF35D8" w14:paraId="199AC430" w14:textId="77777777" w:rsidTr="004F3F2A">
        <w:tc>
          <w:tcPr>
            <w:tcW w:w="279" w:type="dxa"/>
          </w:tcPr>
          <w:p w14:paraId="1CA15B23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753200AA" w14:textId="79203BA6" w:rsidR="0074308E" w:rsidRPr="00FF35D8" w:rsidRDefault="0074308E" w:rsidP="00FF35D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Only applicable for </w:t>
            </w:r>
            <w:r w:rsidR="005D4683" w:rsidRPr="00FF35D8">
              <w:rPr>
                <w:rFonts w:ascii="Arial" w:hAnsi="Arial" w:cs="Arial"/>
              </w:rPr>
              <w:t xml:space="preserve">the change of </w:t>
            </w:r>
            <w:r w:rsidRPr="00FF35D8">
              <w:rPr>
                <w:rFonts w:ascii="Arial" w:hAnsi="Arial" w:cs="Arial"/>
              </w:rPr>
              <w:t>batch release</w:t>
            </w:r>
            <w:r w:rsidR="005D4683" w:rsidRPr="00FF35D8">
              <w:rPr>
                <w:rFonts w:ascii="Arial" w:hAnsi="Arial" w:cs="Arial"/>
              </w:rPr>
              <w:t>r</w:t>
            </w:r>
            <w:r w:rsidRPr="00FF35D8">
              <w:rPr>
                <w:rFonts w:ascii="Arial" w:hAnsi="Arial" w:cs="Arial"/>
              </w:rPr>
              <w:t>.</w:t>
            </w:r>
          </w:p>
          <w:p w14:paraId="1A506761" w14:textId="2E6C9416" w:rsidR="0074308E" w:rsidRPr="00FF35D8" w:rsidRDefault="0074308E" w:rsidP="00FF35D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lastRenderedPageBreak/>
              <w:t xml:space="preserve">The manufacturer of the drug product remains </w:t>
            </w:r>
            <w:r w:rsidR="00B53EC0" w:rsidRPr="00FF35D8">
              <w:rPr>
                <w:rFonts w:ascii="Arial" w:hAnsi="Arial" w:cs="Arial"/>
              </w:rPr>
              <w:t>unchanged</w:t>
            </w:r>
            <w:r w:rsidRPr="00FF35D8">
              <w:rPr>
                <w:rFonts w:ascii="Arial" w:hAnsi="Arial" w:cs="Arial"/>
              </w:rPr>
              <w:t>.</w:t>
            </w:r>
          </w:p>
        </w:tc>
      </w:tr>
      <w:tr w:rsidR="0074308E" w:rsidRPr="00FF35D8" w14:paraId="11E104E0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61653802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lastRenderedPageBreak/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03228503" w14:textId="77777777" w:rsidR="0074308E" w:rsidRPr="00FF35D8" w:rsidRDefault="0074308E" w:rsidP="00FF35D8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Revised drafts of the package insert and labelling incorporating the proposed variation (where applicable).</w:t>
            </w:r>
          </w:p>
          <w:p w14:paraId="5E558739" w14:textId="77777777" w:rsidR="0074308E" w:rsidRPr="00FF35D8" w:rsidRDefault="0074308E" w:rsidP="00FF35D8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Proof that the proposed site is appropriately authorised (accredited by the authority) to be responsible for batch release</w:t>
            </w:r>
            <w:r w:rsidR="00E02A65" w:rsidRPr="00FF35D8">
              <w:rPr>
                <w:rFonts w:cs="Arial"/>
              </w:rPr>
              <w:t>,</w:t>
            </w:r>
            <w:r w:rsidRPr="00FF35D8">
              <w:rPr>
                <w:rFonts w:cs="Arial"/>
              </w:rPr>
              <w:t xml:space="preserve"> such as a valid </w:t>
            </w:r>
            <w:smartTag w:uri="urn:schemas-microsoft-com:office:smarttags" w:element="stockticker">
              <w:r w:rsidRPr="00FF35D8">
                <w:rPr>
                  <w:rFonts w:cs="Arial"/>
                </w:rPr>
                <w:t>GMP</w:t>
              </w:r>
            </w:smartTag>
            <w:r w:rsidRPr="00FF35D8">
              <w:rPr>
                <w:rFonts w:cs="Arial"/>
              </w:rPr>
              <w:t xml:space="preserve"> certificate or CPP which covers the GMP certification</w:t>
            </w:r>
            <w:r w:rsidR="007A5389" w:rsidRPr="00FF35D8">
              <w:rPr>
                <w:rFonts w:cs="Arial"/>
              </w:rPr>
              <w:t>, where applicable</w:t>
            </w:r>
            <w:r w:rsidRPr="00FF35D8">
              <w:rPr>
                <w:rFonts w:cs="Arial"/>
              </w:rPr>
              <w:t xml:space="preserve">. </w:t>
            </w:r>
          </w:p>
          <w:p w14:paraId="12318C53" w14:textId="786120DA" w:rsidR="0074308E" w:rsidRPr="00FF35D8" w:rsidRDefault="005D4683" w:rsidP="00FF35D8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An o</w:t>
            </w:r>
            <w:r w:rsidR="0074308E" w:rsidRPr="00FF35D8">
              <w:rPr>
                <w:rFonts w:cs="Arial"/>
              </w:rPr>
              <w:t>fficial letter from</w:t>
            </w:r>
            <w:r w:rsidR="00E02A65" w:rsidRPr="00FF35D8">
              <w:rPr>
                <w:rFonts w:cs="Arial"/>
              </w:rPr>
              <w:t xml:space="preserve"> the</w:t>
            </w:r>
            <w:r w:rsidR="0074308E" w:rsidRPr="00FF35D8">
              <w:rPr>
                <w:rFonts w:cs="Arial"/>
              </w:rPr>
              <w:t xml:space="preserve"> product owner authori</w:t>
            </w:r>
            <w:r w:rsidR="00E02A65" w:rsidRPr="00FF35D8">
              <w:rPr>
                <w:rFonts w:cs="Arial"/>
              </w:rPr>
              <w:t>s</w:t>
            </w:r>
            <w:r w:rsidR="0074308E" w:rsidRPr="00FF35D8">
              <w:rPr>
                <w:rFonts w:cs="Arial"/>
              </w:rPr>
              <w:t>ing the company/manufacturer to be responsible for batch release (where applicable).</w:t>
            </w:r>
          </w:p>
        </w:tc>
      </w:tr>
    </w:tbl>
    <w:p w14:paraId="0084CC1D" w14:textId="77777777" w:rsidR="0074308E" w:rsidRPr="00FF35D8" w:rsidRDefault="00776599" w:rsidP="00FF35D8">
      <w:pPr>
        <w:tabs>
          <w:tab w:val="left" w:pos="915"/>
        </w:tabs>
        <w:spacing w:before="120" w:after="120" w:line="240" w:lineRule="auto"/>
        <w:ind w:firstLine="284"/>
        <w:rPr>
          <w:rFonts w:cs="Arial"/>
        </w:rPr>
      </w:pPr>
      <w:r w:rsidRPr="00FF35D8">
        <w:rPr>
          <w:rFonts w:cs="Aria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6C79B777" w14:textId="77777777" w:rsidTr="003D02D2">
        <w:trPr>
          <w:trHeight w:val="449"/>
        </w:trPr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1BD8EFF1" w14:textId="77777777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45" w:name="_Toc361039813"/>
            <w:bookmarkStart w:id="46" w:name="_Toc361039983"/>
            <w:bookmarkStart w:id="47" w:name="_Toc361040026"/>
            <w:bookmarkStart w:id="48" w:name="_Toc376178620"/>
            <w:bookmarkStart w:id="49" w:name="_Toc534897212"/>
            <w:bookmarkStart w:id="50" w:name="_Toc99038406"/>
            <w:r w:rsidRPr="00FF35D8">
              <w:rPr>
                <w:rFonts w:cs="Arial"/>
                <w:sz w:val="22"/>
              </w:rPr>
              <w:t>C4</w:t>
            </w:r>
            <w:r w:rsidR="003D02D2" w:rsidRPr="00FF35D8">
              <w:rPr>
                <w:rFonts w:cs="Arial"/>
                <w:sz w:val="22"/>
              </w:rPr>
              <w:tab/>
              <w:t>Minor Change of Manufacturing P</w:t>
            </w:r>
            <w:r w:rsidRPr="00FF35D8">
              <w:rPr>
                <w:rFonts w:cs="Arial"/>
                <w:sz w:val="22"/>
              </w:rPr>
              <w:t>rocess</w:t>
            </w:r>
            <w:bookmarkEnd w:id="45"/>
            <w:bookmarkEnd w:id="46"/>
            <w:bookmarkEnd w:id="47"/>
            <w:bookmarkEnd w:id="48"/>
            <w:bookmarkEnd w:id="49"/>
            <w:bookmarkEnd w:id="50"/>
            <w:r w:rsidRPr="00FF35D8">
              <w:rPr>
                <w:rFonts w:cs="Arial"/>
                <w:sz w:val="22"/>
              </w:rPr>
              <w:t xml:space="preserve"> </w:t>
            </w:r>
          </w:p>
        </w:tc>
      </w:tr>
      <w:tr w:rsidR="0074308E" w:rsidRPr="00FF35D8" w14:paraId="0F5D8635" w14:textId="77777777" w:rsidTr="004F3F2A">
        <w:tc>
          <w:tcPr>
            <w:tcW w:w="279" w:type="dxa"/>
          </w:tcPr>
          <w:p w14:paraId="148049A8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004C9260" w14:textId="1AA6CF1C" w:rsidR="005D4683" w:rsidRPr="00FF35D8" w:rsidRDefault="0074308E" w:rsidP="00FF35D8">
            <w:pPr>
              <w:numPr>
                <w:ilvl w:val="0"/>
                <w:numId w:val="40"/>
              </w:numPr>
              <w:tabs>
                <w:tab w:val="left" w:pos="318"/>
              </w:tabs>
              <w:spacing w:before="120" w:after="120" w:line="240" w:lineRule="auto"/>
              <w:ind w:left="344"/>
              <w:rPr>
                <w:rFonts w:cs="Arial"/>
              </w:rPr>
            </w:pPr>
            <w:r w:rsidRPr="00FF35D8">
              <w:rPr>
                <w:rFonts w:cs="Arial"/>
              </w:rPr>
              <w:t xml:space="preserve">For any minor change </w:t>
            </w:r>
            <w:r w:rsidR="005D4683" w:rsidRPr="00FF35D8">
              <w:rPr>
                <w:rFonts w:cs="Arial"/>
              </w:rPr>
              <w:t>of the</w:t>
            </w:r>
            <w:r w:rsidRPr="00FF35D8">
              <w:rPr>
                <w:rFonts w:cs="Arial"/>
              </w:rPr>
              <w:t xml:space="preserve"> </w:t>
            </w:r>
            <w:r w:rsidR="00ED7B4E" w:rsidRPr="00FF35D8">
              <w:rPr>
                <w:rFonts w:cs="Arial"/>
              </w:rPr>
              <w:t>approved</w:t>
            </w:r>
            <w:r w:rsidRPr="00FF35D8">
              <w:rPr>
                <w:rFonts w:cs="Arial"/>
              </w:rPr>
              <w:t xml:space="preserve"> manufacturing process at any stage during manufacture of </w:t>
            </w:r>
            <w:r w:rsidR="00E02A65" w:rsidRPr="00FF35D8">
              <w:rPr>
                <w:rFonts w:cs="Arial"/>
              </w:rPr>
              <w:t xml:space="preserve">the </w:t>
            </w:r>
            <w:r w:rsidR="005D4683" w:rsidRPr="00FF35D8">
              <w:rPr>
                <w:rFonts w:cs="Arial"/>
              </w:rPr>
              <w:t>drug substance,</w:t>
            </w:r>
            <w:r w:rsidRPr="00FF35D8">
              <w:rPr>
                <w:rFonts w:cs="Arial"/>
              </w:rPr>
              <w:t xml:space="preserve"> drug product</w:t>
            </w:r>
            <w:r w:rsidR="005D4683" w:rsidRPr="00FF35D8">
              <w:rPr>
                <w:rFonts w:cs="Arial"/>
              </w:rPr>
              <w:t xml:space="preserve"> and/or process intermediates.</w:t>
            </w:r>
          </w:p>
          <w:p w14:paraId="49F63217" w14:textId="22E679AC" w:rsidR="005D4683" w:rsidRPr="00FF35D8" w:rsidRDefault="0074308E" w:rsidP="00FF35D8">
            <w:pPr>
              <w:numPr>
                <w:ilvl w:val="0"/>
                <w:numId w:val="40"/>
              </w:numPr>
              <w:tabs>
                <w:tab w:val="left" w:pos="318"/>
              </w:tabs>
              <w:spacing w:before="120" w:after="120" w:line="240" w:lineRule="auto"/>
              <w:ind w:left="344"/>
              <w:rPr>
                <w:rFonts w:cs="Arial"/>
              </w:rPr>
            </w:pPr>
            <w:r w:rsidRPr="00FF35D8">
              <w:rPr>
                <w:rFonts w:cs="Arial"/>
              </w:rPr>
              <w:t>Relates to a non-critical change in the process</w:t>
            </w:r>
            <w:r w:rsidR="001A4E79" w:rsidRPr="00FF35D8">
              <w:rPr>
                <w:rFonts w:cs="Arial"/>
              </w:rPr>
              <w:t xml:space="preserve"> that does not require an assessment of comparability</w:t>
            </w:r>
            <w:r w:rsidRPr="00FF35D8">
              <w:rPr>
                <w:rFonts w:cs="Arial"/>
              </w:rPr>
              <w:t>, such as change in harvesting and/or pooling procedures without</w:t>
            </w:r>
            <w:r w:rsidR="00E02A65" w:rsidRPr="00FF35D8">
              <w:rPr>
                <w:rFonts w:cs="Arial"/>
              </w:rPr>
              <w:t xml:space="preserve"> a</w:t>
            </w:r>
            <w:r w:rsidRPr="00FF35D8">
              <w:rPr>
                <w:rFonts w:cs="Arial"/>
              </w:rPr>
              <w:t xml:space="preserve"> change in the method of manufacturing, recovery, storage conditions or production scale; duplication of a fermentation train; addition of identical or similar/comparable bioreactors.</w:t>
            </w:r>
          </w:p>
          <w:p w14:paraId="373B70E9" w14:textId="64C32744" w:rsidR="005D4683" w:rsidRPr="00FF35D8" w:rsidRDefault="0074308E" w:rsidP="00FF35D8">
            <w:pPr>
              <w:numPr>
                <w:ilvl w:val="0"/>
                <w:numId w:val="40"/>
              </w:numPr>
              <w:tabs>
                <w:tab w:val="left" w:pos="318"/>
              </w:tabs>
              <w:spacing w:before="120" w:after="120" w:line="240" w:lineRule="auto"/>
              <w:ind w:left="344"/>
              <w:rPr>
                <w:rFonts w:cs="Arial"/>
              </w:rPr>
            </w:pPr>
            <w:r w:rsidRPr="00FF35D8">
              <w:rPr>
                <w:rFonts w:cs="Arial"/>
              </w:rPr>
              <w:t xml:space="preserve">No adverse change in </w:t>
            </w:r>
            <w:r w:rsidR="00073C60" w:rsidRPr="00FF35D8">
              <w:rPr>
                <w:rFonts w:cs="Arial"/>
              </w:rPr>
              <w:t xml:space="preserve">the </w:t>
            </w:r>
            <w:r w:rsidRPr="00FF35D8">
              <w:rPr>
                <w:rFonts w:cs="Arial"/>
              </w:rPr>
              <w:t>qualitative and/or quantitative impurity pro</w:t>
            </w:r>
            <w:r w:rsidR="001A4E79" w:rsidRPr="00FF35D8">
              <w:rPr>
                <w:rFonts w:cs="Arial"/>
              </w:rPr>
              <w:t xml:space="preserve">file or in </w:t>
            </w:r>
            <w:proofErr w:type="spellStart"/>
            <w:r w:rsidR="001A4E79" w:rsidRPr="00FF35D8">
              <w:rPr>
                <w:rFonts w:cs="Arial"/>
              </w:rPr>
              <w:t>physico</w:t>
            </w:r>
            <w:proofErr w:type="spellEnd"/>
            <w:r w:rsidR="001A4E79" w:rsidRPr="00FF35D8">
              <w:rPr>
                <w:rFonts w:cs="Arial"/>
              </w:rPr>
              <w:t>-chemical characteristics and other relevant properties.</w:t>
            </w:r>
          </w:p>
          <w:p w14:paraId="7175F35D" w14:textId="71E95520" w:rsidR="005D4683" w:rsidRPr="00FF35D8" w:rsidRDefault="001A4E79" w:rsidP="00FF35D8">
            <w:pPr>
              <w:numPr>
                <w:ilvl w:val="0"/>
                <w:numId w:val="40"/>
              </w:numPr>
              <w:tabs>
                <w:tab w:val="left" w:pos="318"/>
              </w:tabs>
              <w:spacing w:before="120" w:after="120" w:line="240" w:lineRule="auto"/>
              <w:ind w:left="344"/>
              <w:rPr>
                <w:rFonts w:cs="Arial"/>
              </w:rPr>
            </w:pPr>
            <w:r w:rsidRPr="00FF35D8">
              <w:rPr>
                <w:rFonts w:cs="Arial"/>
              </w:rPr>
              <w:t>Proposed m</w:t>
            </w:r>
            <w:r w:rsidR="0074308E" w:rsidRPr="00FF35D8">
              <w:rPr>
                <w:rFonts w:cs="Arial"/>
              </w:rPr>
              <w:t xml:space="preserve">anufacturing process of </w:t>
            </w:r>
            <w:r w:rsidR="00E02A65" w:rsidRPr="00FF35D8">
              <w:rPr>
                <w:rFonts w:cs="Arial"/>
              </w:rPr>
              <w:t xml:space="preserve">the </w:t>
            </w:r>
            <w:r w:rsidR="0074308E" w:rsidRPr="00FF35D8">
              <w:rPr>
                <w:rFonts w:cs="Arial"/>
              </w:rPr>
              <w:t xml:space="preserve">drug substance and/or drug product does not use any </w:t>
            </w:r>
            <w:r w:rsidRPr="00FF35D8">
              <w:rPr>
                <w:rFonts w:cs="Arial"/>
              </w:rPr>
              <w:t>new</w:t>
            </w:r>
            <w:r w:rsidRPr="00FF35D8">
              <w:rPr>
                <w:rFonts w:cs="Arial"/>
                <w:color w:val="FF0000"/>
              </w:rPr>
              <w:t xml:space="preserve"> </w:t>
            </w:r>
            <w:r w:rsidR="0074308E" w:rsidRPr="00FF35D8">
              <w:rPr>
                <w:rFonts w:cs="Arial"/>
              </w:rPr>
              <w:t xml:space="preserve">materials of human/animal origin for which assessment is required </w:t>
            </w:r>
            <w:r w:rsidR="00E02A65" w:rsidRPr="00FF35D8">
              <w:rPr>
                <w:rFonts w:cs="Arial"/>
              </w:rPr>
              <w:t>for</w:t>
            </w:r>
            <w:r w:rsidR="0074308E" w:rsidRPr="00FF35D8">
              <w:rPr>
                <w:rFonts w:cs="Arial"/>
              </w:rPr>
              <w:t xml:space="preserve"> viral safety.</w:t>
            </w:r>
          </w:p>
          <w:p w14:paraId="15238978" w14:textId="6D1A3349" w:rsidR="0074308E" w:rsidRPr="00FF35D8" w:rsidRDefault="001A4E79" w:rsidP="00FF35D8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4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Specification of the drug substance or drug product remains unchanged. If there is a change in the specification, MIV-1 B3</w:t>
            </w:r>
            <w:r w:rsidR="0036728D" w:rsidRPr="00FF35D8">
              <w:rPr>
                <w:rFonts w:ascii="Arial" w:hAnsi="Arial" w:cs="Arial"/>
              </w:rPr>
              <w:t>,</w:t>
            </w:r>
            <w:r w:rsidRPr="00FF35D8">
              <w:rPr>
                <w:rFonts w:ascii="Arial" w:hAnsi="Arial" w:cs="Arial"/>
              </w:rPr>
              <w:t xml:space="preserve"> MIV-2 C5</w:t>
            </w:r>
            <w:r w:rsidR="0036728D" w:rsidRPr="00FF35D8">
              <w:rPr>
                <w:rFonts w:ascii="Arial" w:hAnsi="Arial" w:cs="Arial"/>
              </w:rPr>
              <w:t xml:space="preserve"> or </w:t>
            </w:r>
            <w:r w:rsidR="000C099F" w:rsidRPr="00FF35D8">
              <w:rPr>
                <w:rFonts w:ascii="Arial" w:hAnsi="Arial" w:cs="Arial"/>
              </w:rPr>
              <w:t>D14</w:t>
            </w:r>
            <w:r w:rsidRPr="00FF35D8">
              <w:rPr>
                <w:rFonts w:ascii="Arial" w:hAnsi="Arial" w:cs="Arial"/>
              </w:rPr>
              <w:t xml:space="preserve"> is also applicable. </w:t>
            </w:r>
          </w:p>
        </w:tc>
      </w:tr>
      <w:tr w:rsidR="0074308E" w:rsidRPr="00FF35D8" w14:paraId="1DB7FC84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11F248EB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46A86105" w14:textId="4B0D8B90" w:rsidR="0074308E" w:rsidRPr="00FF35D8" w:rsidRDefault="0074308E" w:rsidP="00FF35D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4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Comparative tabulated format of the approved and </w:t>
            </w:r>
            <w:r w:rsidR="00ED7B4E" w:rsidRPr="00FF35D8">
              <w:rPr>
                <w:rFonts w:ascii="Arial" w:hAnsi="Arial" w:cs="Arial"/>
              </w:rPr>
              <w:t>proposed</w:t>
            </w:r>
            <w:r w:rsidRPr="00FF35D8">
              <w:rPr>
                <w:rFonts w:ascii="Arial" w:hAnsi="Arial" w:cs="Arial"/>
              </w:rPr>
              <w:t xml:space="preserve"> processes with changes highlighted (where available).</w:t>
            </w:r>
          </w:p>
          <w:p w14:paraId="29794BF0" w14:textId="46DD3D11" w:rsidR="001A4E79" w:rsidRPr="00FF35D8" w:rsidRDefault="001A4E79" w:rsidP="00FF35D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4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Description of the new manufacturing process and technical justifications for the change. </w:t>
            </w:r>
          </w:p>
          <w:p w14:paraId="01833C7E" w14:textId="77777777" w:rsidR="00AF2152" w:rsidRPr="00FF35D8" w:rsidRDefault="00AF2152" w:rsidP="00FF35D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4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Validation scheme and/or report of the proposed manufacturing process as per </w:t>
            </w:r>
            <w:r w:rsidRPr="00FF35D8">
              <w:rPr>
                <w:rFonts w:ascii="Arial" w:hAnsi="Arial" w:cs="Arial"/>
                <w:i/>
              </w:rPr>
              <w:t>ASEAN Guideline on Submission of Manufacturing Process Validation Data for Drug Registration</w:t>
            </w:r>
            <w:r w:rsidRPr="00FF35D8">
              <w:rPr>
                <w:rFonts w:ascii="Arial" w:hAnsi="Arial" w:cs="Arial"/>
              </w:rPr>
              <w:t xml:space="preserve"> should be provided upon submission.</w:t>
            </w:r>
          </w:p>
          <w:p w14:paraId="1939A362" w14:textId="5D9B2887" w:rsidR="0074308E" w:rsidRPr="00FF35D8" w:rsidRDefault="0036728D" w:rsidP="00FF35D8">
            <w:pPr>
              <w:numPr>
                <w:ilvl w:val="0"/>
                <w:numId w:val="17"/>
              </w:numPr>
              <w:spacing w:before="120" w:after="120" w:line="240" w:lineRule="auto"/>
              <w:ind w:left="340"/>
              <w:rPr>
                <w:rFonts w:cs="Arial"/>
              </w:rPr>
            </w:pPr>
            <w:r w:rsidRPr="00FF35D8">
              <w:rPr>
                <w:rFonts w:cs="Arial"/>
              </w:rPr>
              <w:t>Approved release and/or shelf life specifications of the drug substance, drug product or process intermediates</w:t>
            </w:r>
            <w:r w:rsidR="00AF2152" w:rsidRPr="00FF35D8">
              <w:rPr>
                <w:rFonts w:cs="Arial"/>
              </w:rPr>
              <w:t>, and a</w:t>
            </w:r>
            <w:r w:rsidR="0074308E" w:rsidRPr="00FF35D8">
              <w:rPr>
                <w:rFonts w:cs="Arial"/>
              </w:rPr>
              <w:t xml:space="preserve"> letter of declaration from the </w:t>
            </w:r>
            <w:r w:rsidR="00B5753D" w:rsidRPr="00FF35D8">
              <w:rPr>
                <w:rFonts w:cs="Arial"/>
              </w:rPr>
              <w:t>product registrant</w:t>
            </w:r>
            <w:r w:rsidR="0074308E" w:rsidRPr="00FF35D8">
              <w:rPr>
                <w:rFonts w:cs="Arial"/>
              </w:rPr>
              <w:t xml:space="preserve"> stating that the specifications of the d</w:t>
            </w:r>
            <w:r w:rsidR="00AF2152" w:rsidRPr="00FF35D8">
              <w:rPr>
                <w:rFonts w:cs="Arial"/>
              </w:rPr>
              <w:t>rug substance or drug product have not changed.</w:t>
            </w:r>
          </w:p>
          <w:p w14:paraId="3CFC6744" w14:textId="63B1BE24" w:rsidR="00AF2152" w:rsidRPr="00FF35D8" w:rsidRDefault="00AF2152" w:rsidP="00FF35D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4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Certificate of analysis or batch analysis data (in a comparative tabulated format) of the drug substance or drug product of at least two batches manufactured according to the approved and proposed processes, where appropriate.</w:t>
            </w:r>
          </w:p>
          <w:p w14:paraId="01D32ED3" w14:textId="309EE479" w:rsidR="0074308E" w:rsidRPr="00FF35D8" w:rsidRDefault="0074308E" w:rsidP="00FF35D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4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A </w:t>
            </w:r>
            <w:r w:rsidR="00AF2152" w:rsidRPr="00FF35D8">
              <w:rPr>
                <w:rFonts w:ascii="Arial" w:hAnsi="Arial" w:cs="Arial"/>
              </w:rPr>
              <w:t>commitment letter to complete the</w:t>
            </w:r>
            <w:r w:rsidRPr="00FF35D8">
              <w:rPr>
                <w:rFonts w:ascii="Arial" w:hAnsi="Arial" w:cs="Arial"/>
              </w:rPr>
              <w:t xml:space="preserve"> relevant </w:t>
            </w:r>
            <w:r w:rsidR="00AF2152" w:rsidRPr="00FF35D8">
              <w:rPr>
                <w:rFonts w:ascii="Arial" w:hAnsi="Arial" w:cs="Arial"/>
              </w:rPr>
              <w:t xml:space="preserve">on-going </w:t>
            </w:r>
            <w:r w:rsidRPr="00FF35D8">
              <w:rPr>
                <w:rFonts w:ascii="Arial" w:hAnsi="Arial" w:cs="Arial"/>
              </w:rPr>
              <w:t>stability studies of the drug substance or drug product in accordance with the relevant guideline</w:t>
            </w:r>
            <w:r w:rsidR="00AF2152" w:rsidRPr="00FF35D8">
              <w:rPr>
                <w:rFonts w:ascii="Arial" w:hAnsi="Arial" w:cs="Arial"/>
              </w:rPr>
              <w:t xml:space="preserve">. </w:t>
            </w:r>
            <w:r w:rsidR="00AF2152" w:rsidRPr="00FF35D8">
              <w:rPr>
                <w:rFonts w:ascii="Arial" w:hAnsi="Arial" w:cs="Arial"/>
                <w:lang w:val="en-US"/>
              </w:rPr>
              <w:t xml:space="preserve">The product registrant shall report to the Health Sciences Authority of any out-of-specification result (with proposed action). </w:t>
            </w:r>
            <w:r w:rsidR="00AF2152" w:rsidRPr="00FF35D8">
              <w:rPr>
                <w:rFonts w:ascii="Arial" w:hAnsi="Arial" w:cs="Arial"/>
                <w:iCs/>
              </w:rPr>
              <w:t>Submission of the data in the form of a finalised report is not required but the data shall be provided to the Health Sciences Authority upon request</w:t>
            </w:r>
            <w:r w:rsidR="00323936" w:rsidRPr="00FF35D8">
              <w:rPr>
                <w:rFonts w:ascii="Arial" w:hAnsi="Arial" w:cs="Arial"/>
                <w:iCs/>
              </w:rPr>
              <w:t>.</w:t>
            </w:r>
          </w:p>
        </w:tc>
      </w:tr>
    </w:tbl>
    <w:p w14:paraId="365F1FB5" w14:textId="77777777" w:rsidR="0074308E" w:rsidRPr="00FF35D8" w:rsidRDefault="00776599" w:rsidP="00FF35D8">
      <w:pPr>
        <w:tabs>
          <w:tab w:val="left" w:pos="690"/>
        </w:tabs>
        <w:spacing w:before="120" w:after="120" w:line="240" w:lineRule="auto"/>
        <w:rPr>
          <w:rFonts w:cs="Arial"/>
        </w:rPr>
      </w:pPr>
      <w:r w:rsidRPr="00FF35D8">
        <w:rPr>
          <w:rFonts w:cs="Arial"/>
        </w:rPr>
        <w:lastRenderedPageBreak/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0BE071AF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0CBB6363" w14:textId="4E7F3A2F" w:rsidR="003C7DD0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51" w:name="_Toc360632944"/>
            <w:bookmarkStart w:id="52" w:name="_Toc360632983"/>
            <w:bookmarkStart w:id="53" w:name="_Toc360633294"/>
            <w:bookmarkStart w:id="54" w:name="_Toc360720097"/>
            <w:bookmarkStart w:id="55" w:name="_Toc363563460"/>
            <w:bookmarkStart w:id="56" w:name="_Toc376178621"/>
            <w:bookmarkStart w:id="57" w:name="_Toc534897213"/>
            <w:bookmarkStart w:id="58" w:name="_Toc99038407"/>
            <w:bookmarkStart w:id="59" w:name="MiV_PA8" w:colFirst="1" w:colLast="1"/>
            <w:r w:rsidRPr="00FF35D8">
              <w:rPr>
                <w:rFonts w:cs="Arial"/>
                <w:sz w:val="22"/>
              </w:rPr>
              <w:t>C5</w:t>
            </w:r>
            <w:r w:rsidRPr="00FF35D8">
              <w:rPr>
                <w:rFonts w:cs="Arial"/>
                <w:sz w:val="22"/>
              </w:rPr>
              <w:tab/>
              <w:t xml:space="preserve">Change of </w:t>
            </w:r>
            <w:r w:rsidR="009D4454" w:rsidRPr="00FF35D8">
              <w:rPr>
                <w:rFonts w:cs="Arial"/>
                <w:sz w:val="22"/>
              </w:rPr>
              <w:t>S</w:t>
            </w:r>
            <w:r w:rsidRPr="00FF35D8">
              <w:rPr>
                <w:rFonts w:cs="Arial"/>
                <w:sz w:val="22"/>
              </w:rPr>
              <w:t xml:space="preserve">pecification </w:t>
            </w:r>
            <w:bookmarkEnd w:id="51"/>
            <w:bookmarkEnd w:id="52"/>
            <w:bookmarkEnd w:id="53"/>
            <w:bookmarkEnd w:id="54"/>
            <w:bookmarkEnd w:id="55"/>
            <w:r w:rsidRPr="00FF35D8">
              <w:rPr>
                <w:rFonts w:cs="Arial"/>
                <w:sz w:val="22"/>
              </w:rPr>
              <w:t xml:space="preserve">of </w:t>
            </w:r>
            <w:r w:rsidR="009D4454" w:rsidRPr="00FF35D8">
              <w:rPr>
                <w:rFonts w:cs="Arial"/>
                <w:sz w:val="22"/>
              </w:rPr>
              <w:t>D</w:t>
            </w:r>
            <w:r w:rsidRPr="00FF35D8">
              <w:rPr>
                <w:rFonts w:cs="Arial"/>
                <w:sz w:val="22"/>
              </w:rPr>
              <w:t xml:space="preserve">rug </w:t>
            </w:r>
            <w:r w:rsidR="009D4454" w:rsidRPr="00FF35D8">
              <w:rPr>
                <w:rFonts w:cs="Arial"/>
                <w:sz w:val="22"/>
              </w:rPr>
              <w:t>S</w:t>
            </w:r>
            <w:r w:rsidRPr="00FF35D8">
              <w:rPr>
                <w:rFonts w:cs="Arial"/>
                <w:sz w:val="22"/>
              </w:rPr>
              <w:t xml:space="preserve">ubstance, </w:t>
            </w:r>
            <w:r w:rsidR="009D4454" w:rsidRPr="00FF35D8">
              <w:rPr>
                <w:rFonts w:cs="Arial"/>
                <w:sz w:val="22"/>
              </w:rPr>
              <w:t>D</w:t>
            </w:r>
            <w:r w:rsidRPr="00FF35D8">
              <w:rPr>
                <w:rFonts w:cs="Arial"/>
                <w:sz w:val="22"/>
              </w:rPr>
              <w:t xml:space="preserve">rug </w:t>
            </w:r>
            <w:r w:rsidR="009D4454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 xml:space="preserve">roduct, </w:t>
            </w:r>
            <w:r w:rsidR="009D4454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 xml:space="preserve">rocess </w:t>
            </w:r>
            <w:r w:rsidR="009D4454" w:rsidRPr="00FF35D8">
              <w:rPr>
                <w:rFonts w:cs="Arial"/>
                <w:sz w:val="22"/>
              </w:rPr>
              <w:t>I</w:t>
            </w:r>
            <w:r w:rsidRPr="00FF35D8">
              <w:rPr>
                <w:rFonts w:cs="Arial"/>
                <w:sz w:val="22"/>
              </w:rPr>
              <w:t>ntermediate</w:t>
            </w:r>
            <w:r w:rsidR="009D4454" w:rsidRPr="00FF35D8">
              <w:rPr>
                <w:rFonts w:cs="Arial"/>
                <w:sz w:val="22"/>
              </w:rPr>
              <w:t xml:space="preserve"> and/or</w:t>
            </w:r>
            <w:r w:rsidRPr="00FF35D8">
              <w:rPr>
                <w:rFonts w:cs="Arial"/>
                <w:sz w:val="22"/>
              </w:rPr>
              <w:t xml:space="preserve"> </w:t>
            </w:r>
            <w:r w:rsidR="009D4454" w:rsidRPr="00FF35D8">
              <w:rPr>
                <w:rFonts w:cs="Arial"/>
                <w:sz w:val="22"/>
              </w:rPr>
              <w:t>I</w:t>
            </w:r>
            <w:r w:rsidRPr="00FF35D8">
              <w:rPr>
                <w:rFonts w:cs="Arial"/>
                <w:sz w:val="22"/>
              </w:rPr>
              <w:t xml:space="preserve">n-process </w:t>
            </w:r>
            <w:r w:rsidR="009D4454" w:rsidRPr="00FF35D8">
              <w:rPr>
                <w:rFonts w:cs="Arial"/>
                <w:sz w:val="22"/>
              </w:rPr>
              <w:t>C</w:t>
            </w:r>
            <w:r w:rsidRPr="00FF35D8">
              <w:rPr>
                <w:rFonts w:cs="Arial"/>
                <w:sz w:val="22"/>
              </w:rPr>
              <w:t xml:space="preserve">ontrol </w:t>
            </w:r>
            <w:r w:rsidR="009D4454" w:rsidRPr="00FF35D8">
              <w:rPr>
                <w:rFonts w:cs="Arial"/>
                <w:sz w:val="22"/>
              </w:rPr>
              <w:t>T</w:t>
            </w:r>
            <w:r w:rsidRPr="00FF35D8">
              <w:rPr>
                <w:rFonts w:cs="Arial"/>
                <w:sz w:val="22"/>
              </w:rPr>
              <w:t>ests</w:t>
            </w:r>
            <w:bookmarkEnd w:id="56"/>
            <w:bookmarkEnd w:id="57"/>
            <w:bookmarkEnd w:id="58"/>
            <w:r w:rsidRPr="00FF35D8">
              <w:rPr>
                <w:rFonts w:cs="Arial"/>
                <w:sz w:val="22"/>
              </w:rPr>
              <w:t xml:space="preserve"> </w:t>
            </w:r>
          </w:p>
        </w:tc>
      </w:tr>
      <w:bookmarkEnd w:id="59"/>
      <w:tr w:rsidR="0074308E" w:rsidRPr="00FF35D8" w14:paraId="01A25D0E" w14:textId="77777777" w:rsidTr="004F3F2A">
        <w:tc>
          <w:tcPr>
            <w:tcW w:w="279" w:type="dxa"/>
          </w:tcPr>
          <w:p w14:paraId="3C75FA33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  <w:highlight w:val="yellow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1AA9163B" w14:textId="77777777" w:rsidR="000C099F" w:rsidRPr="00FF35D8" w:rsidRDefault="000C099F" w:rsidP="00FF35D8">
            <w:pPr>
              <w:numPr>
                <w:ilvl w:val="0"/>
                <w:numId w:val="29"/>
              </w:numPr>
              <w:spacing w:before="120" w:after="120" w:line="240" w:lineRule="auto"/>
              <w:ind w:left="382"/>
              <w:rPr>
                <w:rFonts w:cs="Arial"/>
              </w:rPr>
            </w:pPr>
            <w:r w:rsidRPr="00FF35D8">
              <w:rPr>
                <w:rFonts w:cs="Arial"/>
              </w:rPr>
              <w:t>The variation should not be submitted as a result of unexpected events that may lead to product defects. Variation is only to be submitted after c</w:t>
            </w:r>
            <w:r w:rsidRPr="00FF35D8">
              <w:rPr>
                <w:rFonts w:cs="Arial"/>
                <w:iCs/>
                <w:lang w:eastAsia="en-US"/>
              </w:rPr>
              <w:t>oncerns have been addressed and CAPAs concurred.  R</w:t>
            </w:r>
            <w:r w:rsidRPr="00FF35D8">
              <w:rPr>
                <w:rFonts w:cs="Arial"/>
              </w:rPr>
              <w:t xml:space="preserve">efer to the </w:t>
            </w:r>
            <w:r w:rsidRPr="00FF35D8">
              <w:rPr>
                <w:rFonts w:cs="Arial"/>
                <w:i/>
              </w:rPr>
              <w:t>Product Defect Reporting and Recall Procedures</w:t>
            </w:r>
            <w:r w:rsidRPr="00FF35D8">
              <w:rPr>
                <w:rFonts w:cs="Arial"/>
              </w:rPr>
              <w:t xml:space="preserve"> on the HSA website for product defect reporting.</w:t>
            </w:r>
          </w:p>
          <w:p w14:paraId="081B1404" w14:textId="7BD3FCD0" w:rsidR="000949E0" w:rsidRPr="00FF35D8" w:rsidRDefault="0036728D" w:rsidP="00FF35D8">
            <w:pPr>
              <w:numPr>
                <w:ilvl w:val="0"/>
                <w:numId w:val="29"/>
              </w:numPr>
              <w:spacing w:before="120" w:after="120" w:line="240" w:lineRule="auto"/>
              <w:ind w:left="382"/>
              <w:rPr>
                <w:rFonts w:cs="Arial"/>
              </w:rPr>
            </w:pPr>
            <w:r w:rsidRPr="00FF35D8">
              <w:rPr>
                <w:rFonts w:cs="Arial"/>
              </w:rPr>
              <w:t>For a</w:t>
            </w:r>
            <w:r w:rsidR="000949E0" w:rsidRPr="00FF35D8">
              <w:rPr>
                <w:rFonts w:cs="Arial"/>
              </w:rPr>
              <w:t xml:space="preserve">ddition or replacement of a specification parameter and limit. </w:t>
            </w:r>
          </w:p>
          <w:p w14:paraId="15514DDD" w14:textId="41601965" w:rsidR="0074308E" w:rsidRPr="00FF35D8" w:rsidRDefault="000949E0" w:rsidP="00FF35D8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The new test method is not a biological/immunological/immunochemical method or a method using a biological reagent for a biological active substance</w:t>
            </w:r>
            <w:r w:rsidR="006A4934" w:rsidRPr="00FF35D8">
              <w:rPr>
                <w:rFonts w:ascii="Arial" w:hAnsi="Arial" w:cs="Arial"/>
              </w:rPr>
              <w:t xml:space="preserve">, or otherwise refer to MIV-1 B3. </w:t>
            </w:r>
          </w:p>
          <w:p w14:paraId="6B24E642" w14:textId="6BAD9159" w:rsidR="00C7443D" w:rsidRPr="00186DF7" w:rsidRDefault="0074308E" w:rsidP="00186DF7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For widening of specification limits and deletio</w:t>
            </w:r>
            <w:r w:rsidR="00533B30" w:rsidRPr="00FF35D8">
              <w:rPr>
                <w:rFonts w:ascii="Arial" w:hAnsi="Arial" w:cs="Arial"/>
              </w:rPr>
              <w:t>n of test parameter and limits,</w:t>
            </w:r>
            <w:r w:rsidRPr="00FF35D8">
              <w:rPr>
                <w:rFonts w:ascii="Arial" w:hAnsi="Arial" w:cs="Arial"/>
              </w:rPr>
              <w:t xml:space="preserve"> refer to MIV-1 B3.</w:t>
            </w:r>
            <w:r w:rsidR="00776022" w:rsidRPr="00FF35D8">
              <w:rPr>
                <w:rFonts w:ascii="Arial" w:hAnsi="Arial" w:cs="Arial"/>
              </w:rPr>
              <w:t xml:space="preserve"> </w:t>
            </w:r>
            <w:r w:rsidR="000949E0" w:rsidRPr="00FF35D8">
              <w:rPr>
                <w:rFonts w:ascii="Arial" w:hAnsi="Arial" w:cs="Arial"/>
              </w:rPr>
              <w:t xml:space="preserve">For tightening of specification limit, or deletion of non-significant parameter, refer to MIV-2 </w:t>
            </w:r>
            <w:r w:rsidR="000C099F" w:rsidRPr="00FF35D8">
              <w:rPr>
                <w:rFonts w:ascii="Arial" w:hAnsi="Arial" w:cs="Arial"/>
              </w:rPr>
              <w:t>D14</w:t>
            </w:r>
            <w:r w:rsidR="000949E0" w:rsidRPr="00FF35D8">
              <w:rPr>
                <w:rFonts w:ascii="Arial" w:hAnsi="Arial" w:cs="Arial"/>
              </w:rPr>
              <w:t>.</w:t>
            </w:r>
          </w:p>
        </w:tc>
      </w:tr>
      <w:tr w:rsidR="0074308E" w:rsidRPr="00FF35D8" w14:paraId="399FE3AF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4CD884ED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  <w:highlight w:val="yellow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7AD82AC" w14:textId="42FD9457" w:rsidR="0074308E" w:rsidRPr="00FF35D8" w:rsidRDefault="0074308E" w:rsidP="00FF35D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Technical justification for the change.</w:t>
            </w:r>
          </w:p>
          <w:p w14:paraId="1530A041" w14:textId="1F069171" w:rsidR="00DB25F7" w:rsidRPr="00FF35D8" w:rsidRDefault="00DB25F7" w:rsidP="00FF35D8">
            <w:pPr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cs="Arial"/>
              </w:rPr>
            </w:pPr>
            <w:r w:rsidRPr="00FF35D8">
              <w:rPr>
                <w:rFonts w:cs="Arial"/>
              </w:rPr>
              <w:t>Revised specification of the drug substance, drug product, process intermediate or in-process control test.</w:t>
            </w:r>
          </w:p>
          <w:p w14:paraId="367AE69D" w14:textId="44795A40" w:rsidR="0074308E" w:rsidRPr="00FF35D8" w:rsidRDefault="0074308E" w:rsidP="00FF35D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Comp</w:t>
            </w:r>
            <w:r w:rsidR="00ED7B4E" w:rsidRPr="00FF35D8">
              <w:rPr>
                <w:rFonts w:ascii="Arial" w:hAnsi="Arial" w:cs="Arial"/>
              </w:rPr>
              <w:t>arative tabulated format of the</w:t>
            </w:r>
            <w:r w:rsidRPr="00FF35D8">
              <w:rPr>
                <w:rFonts w:ascii="Arial" w:hAnsi="Arial" w:cs="Arial"/>
              </w:rPr>
              <w:t xml:space="preserve"> approved and </w:t>
            </w:r>
            <w:r w:rsidR="00C7443D" w:rsidRPr="00FF35D8">
              <w:rPr>
                <w:rFonts w:ascii="Arial" w:hAnsi="Arial" w:cs="Arial"/>
              </w:rPr>
              <w:t>proposed</w:t>
            </w:r>
            <w:r w:rsidRPr="00FF35D8">
              <w:rPr>
                <w:rFonts w:ascii="Arial" w:hAnsi="Arial" w:cs="Arial"/>
              </w:rPr>
              <w:t xml:space="preserve"> specification </w:t>
            </w:r>
            <w:r w:rsidR="0036728D" w:rsidRPr="00FF35D8">
              <w:rPr>
                <w:rFonts w:ascii="Arial" w:hAnsi="Arial" w:cs="Arial"/>
              </w:rPr>
              <w:t xml:space="preserve">of the drug substance, drug product, process intermediate or in-process control test, </w:t>
            </w:r>
            <w:r w:rsidRPr="00FF35D8">
              <w:rPr>
                <w:rFonts w:ascii="Arial" w:hAnsi="Arial" w:cs="Arial"/>
              </w:rPr>
              <w:t>with changes highlighted.</w:t>
            </w:r>
          </w:p>
          <w:p w14:paraId="23EDDE9E" w14:textId="77777777" w:rsidR="0074308E" w:rsidRPr="00FF35D8" w:rsidRDefault="0074308E" w:rsidP="00FF35D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Test results of two production scale batches of the drug substance, drug product, process intermediates or </w:t>
            </w:r>
            <w:r w:rsidR="009D4454" w:rsidRPr="00FF35D8">
              <w:rPr>
                <w:rFonts w:ascii="Arial" w:hAnsi="Arial" w:cs="Arial"/>
              </w:rPr>
              <w:t>in-process controls</w:t>
            </w:r>
            <w:r w:rsidRPr="00FF35D8">
              <w:rPr>
                <w:rFonts w:ascii="Arial" w:hAnsi="Arial" w:cs="Arial"/>
              </w:rPr>
              <w:t>, for all tests in the revised specification.</w:t>
            </w:r>
          </w:p>
          <w:p w14:paraId="0361E9FB" w14:textId="3962D50C" w:rsidR="0074308E" w:rsidRPr="00FF35D8" w:rsidRDefault="0074308E" w:rsidP="00FF35D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Description of any new analytical method and summary of the validation data</w:t>
            </w:r>
            <w:r w:rsidR="00C7443D" w:rsidRPr="00FF35D8">
              <w:rPr>
                <w:rFonts w:ascii="Arial" w:hAnsi="Arial" w:cs="Arial"/>
              </w:rPr>
              <w:t xml:space="preserve"> (where applicable)</w:t>
            </w:r>
            <w:r w:rsidRPr="00FF35D8">
              <w:rPr>
                <w:rFonts w:ascii="Arial" w:hAnsi="Arial" w:cs="Arial"/>
              </w:rPr>
              <w:t>.</w:t>
            </w:r>
          </w:p>
          <w:p w14:paraId="4625EB20" w14:textId="38BC05D5" w:rsidR="00C7443D" w:rsidRPr="00FF35D8" w:rsidRDefault="00C7443D" w:rsidP="00FF35D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Justification of the new specification parameter and the limits</w:t>
            </w:r>
            <w:r w:rsidR="00323936" w:rsidRPr="00FF35D8">
              <w:rPr>
                <w:rFonts w:ascii="Arial" w:hAnsi="Arial" w:cs="Arial"/>
              </w:rPr>
              <w:t>.</w:t>
            </w:r>
          </w:p>
          <w:p w14:paraId="5E59E480" w14:textId="0D8B4B07" w:rsidR="003C7DD0" w:rsidRPr="00FF35D8" w:rsidRDefault="00C7443D" w:rsidP="00FF35D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68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For stability indicating parameter, s</w:t>
            </w:r>
            <w:r w:rsidR="0074308E" w:rsidRPr="00FF35D8">
              <w:rPr>
                <w:rFonts w:ascii="Arial" w:hAnsi="Arial" w:cs="Arial"/>
              </w:rPr>
              <w:t xml:space="preserve">tability data as per </w:t>
            </w:r>
            <w:r w:rsidR="009D4454" w:rsidRPr="00FF35D8">
              <w:rPr>
                <w:rFonts w:ascii="Arial" w:hAnsi="Arial" w:cs="Arial"/>
              </w:rPr>
              <w:t xml:space="preserve">the </w:t>
            </w:r>
            <w:r w:rsidR="0074308E" w:rsidRPr="00FF35D8">
              <w:rPr>
                <w:rFonts w:ascii="Arial" w:hAnsi="Arial" w:cs="Arial"/>
              </w:rPr>
              <w:t xml:space="preserve">relevant guidelines on </w:t>
            </w:r>
            <w:r w:rsidR="009D4454" w:rsidRPr="00FF35D8">
              <w:rPr>
                <w:rFonts w:ascii="Arial" w:hAnsi="Arial" w:cs="Arial"/>
              </w:rPr>
              <w:t xml:space="preserve">the </w:t>
            </w:r>
            <w:r w:rsidR="0074308E" w:rsidRPr="00FF35D8">
              <w:rPr>
                <w:rFonts w:ascii="Arial" w:hAnsi="Arial" w:cs="Arial"/>
              </w:rPr>
              <w:t>stability study of</w:t>
            </w:r>
            <w:r w:rsidR="009D4454" w:rsidRPr="00FF35D8">
              <w:rPr>
                <w:rFonts w:ascii="Arial" w:hAnsi="Arial" w:cs="Arial"/>
              </w:rPr>
              <w:t xml:space="preserve"> the</w:t>
            </w:r>
            <w:r w:rsidR="0074308E" w:rsidRPr="00FF35D8">
              <w:rPr>
                <w:rFonts w:ascii="Arial" w:hAnsi="Arial" w:cs="Arial"/>
              </w:rPr>
              <w:t xml:space="preserve"> drug substance or drug product</w:t>
            </w:r>
            <w:r w:rsidRPr="00FF35D8">
              <w:rPr>
                <w:rFonts w:ascii="Arial" w:hAnsi="Arial" w:cs="Arial"/>
              </w:rPr>
              <w:t>.</w:t>
            </w:r>
            <w:r w:rsidRPr="00FF35D8">
              <w:rPr>
                <w:rFonts w:ascii="Arial" w:hAnsi="Arial" w:cs="Arial"/>
                <w:lang w:val="en-US"/>
              </w:rPr>
              <w:t xml:space="preserve"> The product registrant shall report to the Health Sciences Authority of any out-of-specification result (with proposed action). </w:t>
            </w:r>
            <w:r w:rsidRPr="00FF35D8">
              <w:rPr>
                <w:rFonts w:ascii="Arial" w:hAnsi="Arial" w:cs="Arial"/>
                <w:iCs/>
              </w:rPr>
              <w:t>Submission of the data in the form of a finalised report is not required but the data shall be provided to the Health Sciences Authority upon request.</w:t>
            </w:r>
          </w:p>
        </w:tc>
      </w:tr>
    </w:tbl>
    <w:p w14:paraId="45EE7A9A" w14:textId="77777777" w:rsidR="0074308E" w:rsidRPr="00FF35D8" w:rsidRDefault="0074308E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6570A4E3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52C" w14:textId="1F99A03B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tabs>
                <w:tab w:val="left" w:pos="600"/>
              </w:tabs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60" w:name="_Toc534897214"/>
            <w:bookmarkStart w:id="61" w:name="_Toc99038408"/>
            <w:bookmarkStart w:id="62" w:name="_Toc361039815"/>
            <w:bookmarkStart w:id="63" w:name="_Toc361039985"/>
            <w:bookmarkStart w:id="64" w:name="_Toc361040028"/>
            <w:bookmarkStart w:id="65" w:name="_Toc376178622"/>
            <w:bookmarkStart w:id="66" w:name="MiV_PA17" w:colFirst="1" w:colLast="1"/>
            <w:bookmarkStart w:id="67" w:name="MiV_PA18" w:colFirst="1" w:colLast="1"/>
            <w:r w:rsidRPr="00FF35D8">
              <w:rPr>
                <w:rFonts w:cs="Arial"/>
                <w:sz w:val="22"/>
              </w:rPr>
              <w:t xml:space="preserve">C6 </w:t>
            </w:r>
            <w:r w:rsidR="009D4454" w:rsidRPr="00FF35D8">
              <w:rPr>
                <w:rFonts w:cs="Arial"/>
                <w:sz w:val="22"/>
              </w:rPr>
              <w:t xml:space="preserve"> </w:t>
            </w:r>
            <w:r w:rsidR="003E74B8" w:rsidRPr="00FF35D8">
              <w:rPr>
                <w:rFonts w:cs="Arial"/>
                <w:sz w:val="22"/>
              </w:rPr>
              <w:t xml:space="preserve">  </w:t>
            </w:r>
            <w:r w:rsidRPr="00FF35D8">
              <w:rPr>
                <w:rFonts w:cs="Arial"/>
                <w:sz w:val="22"/>
              </w:rPr>
              <w:t xml:space="preserve">Change of </w:t>
            </w:r>
            <w:r w:rsidR="009D4454" w:rsidRPr="00FF35D8">
              <w:rPr>
                <w:rFonts w:cs="Arial"/>
                <w:sz w:val="22"/>
              </w:rPr>
              <w:t>Colouring/F</w:t>
            </w:r>
            <w:r w:rsidRPr="00FF35D8">
              <w:rPr>
                <w:rFonts w:cs="Arial"/>
                <w:sz w:val="22"/>
              </w:rPr>
              <w:t xml:space="preserve">lavouring </w:t>
            </w:r>
            <w:r w:rsidR="009D4454" w:rsidRPr="00FF35D8">
              <w:rPr>
                <w:rFonts w:cs="Arial"/>
                <w:sz w:val="22"/>
              </w:rPr>
              <w:t>A</w:t>
            </w:r>
            <w:r w:rsidRPr="00FF35D8">
              <w:rPr>
                <w:rFonts w:cs="Arial"/>
                <w:sz w:val="22"/>
              </w:rPr>
              <w:t xml:space="preserve">gent of </w:t>
            </w:r>
            <w:r w:rsidR="00694BEC" w:rsidRPr="00FF35D8">
              <w:rPr>
                <w:rFonts w:cs="Arial"/>
                <w:sz w:val="22"/>
              </w:rPr>
              <w:t xml:space="preserve">Drug </w:t>
            </w:r>
            <w:r w:rsidR="009D4454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>roduct</w:t>
            </w:r>
            <w:bookmarkEnd w:id="60"/>
            <w:bookmarkEnd w:id="61"/>
            <w:r w:rsidRPr="00FF35D8">
              <w:rPr>
                <w:rFonts w:cs="Arial"/>
                <w:sz w:val="22"/>
                <w:u w:val="single"/>
              </w:rPr>
              <w:t xml:space="preserve"> </w:t>
            </w:r>
            <w:bookmarkEnd w:id="62"/>
            <w:bookmarkEnd w:id="63"/>
            <w:bookmarkEnd w:id="64"/>
            <w:bookmarkEnd w:id="65"/>
          </w:p>
        </w:tc>
      </w:tr>
      <w:bookmarkEnd w:id="66"/>
      <w:tr w:rsidR="0074308E" w:rsidRPr="00FF35D8" w14:paraId="0E21D9C0" w14:textId="77777777" w:rsidTr="004F3F2A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D727261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1A9ACBE2" w14:textId="77777777" w:rsidR="0074308E" w:rsidRPr="00FF35D8" w:rsidRDefault="0074308E" w:rsidP="00FF35D8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Same functional characteristic, no change in dissolution profile for solid oral dosage forms.</w:t>
            </w:r>
          </w:p>
          <w:p w14:paraId="3F8C4C02" w14:textId="77777777" w:rsidR="0074308E" w:rsidRPr="00FF35D8" w:rsidRDefault="0074308E" w:rsidP="00FF35D8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The proposed colouring/flavouring agents must not have been rejected for pharmaceutical use.</w:t>
            </w:r>
          </w:p>
          <w:p w14:paraId="044CB755" w14:textId="77777777" w:rsidR="0074308E" w:rsidRPr="00FF35D8" w:rsidRDefault="0074308E" w:rsidP="00FF35D8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The release and shelf-life specifications of the drug product remain unchanged except for the change in colour/flavour.</w:t>
            </w:r>
          </w:p>
        </w:tc>
      </w:tr>
      <w:tr w:rsidR="0074308E" w:rsidRPr="00FF35D8" w14:paraId="30722020" w14:textId="77777777" w:rsidTr="004F3F2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21F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205" w14:textId="1CB7B81B" w:rsidR="0074308E" w:rsidRPr="00FF35D8" w:rsidRDefault="0074308E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Revised drafts of the package insert and labelling incorporating the proposed variation (where applicable).</w:t>
            </w:r>
          </w:p>
          <w:p w14:paraId="4F1E9EDA" w14:textId="277ABC8C" w:rsidR="00B13432" w:rsidRPr="00FF35D8" w:rsidRDefault="00B13432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Revised CTD P1. </w:t>
            </w:r>
          </w:p>
          <w:p w14:paraId="55A94CBA" w14:textId="77777777" w:rsidR="0074308E" w:rsidRPr="00FF35D8" w:rsidRDefault="0074308E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lastRenderedPageBreak/>
              <w:t xml:space="preserve">A declaration from </w:t>
            </w:r>
            <w:r w:rsidR="00B5753D" w:rsidRPr="00FF35D8">
              <w:rPr>
                <w:rFonts w:ascii="Arial" w:hAnsi="Arial" w:cs="Arial"/>
              </w:rPr>
              <w:t>product registrant</w:t>
            </w:r>
            <w:r w:rsidRPr="00FF35D8">
              <w:rPr>
                <w:rFonts w:ascii="Arial" w:hAnsi="Arial" w:cs="Arial"/>
              </w:rPr>
              <w:t xml:space="preserve"> that the change does not interfere with the drug product release and shelf-life specifications test method.</w:t>
            </w:r>
          </w:p>
          <w:p w14:paraId="6B37B5C5" w14:textId="0B85FF00" w:rsidR="007D25E4" w:rsidRPr="00FF35D8" w:rsidRDefault="007D25E4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Comparative tabulated format of the approved and proposed </w:t>
            </w:r>
            <w:r w:rsidR="00694BEC" w:rsidRPr="00FF35D8">
              <w:rPr>
                <w:rFonts w:ascii="Arial" w:hAnsi="Arial" w:cs="Arial"/>
              </w:rPr>
              <w:t xml:space="preserve">drug </w:t>
            </w:r>
            <w:r w:rsidRPr="00FF35D8">
              <w:rPr>
                <w:rFonts w:ascii="Arial" w:hAnsi="Arial" w:cs="Arial"/>
              </w:rPr>
              <w:t>product formulation and batch manufacturing formula, including the qualitative and quantitative information of colouring/flavouring agents.</w:t>
            </w:r>
          </w:p>
          <w:p w14:paraId="508F4D46" w14:textId="7534792E" w:rsidR="003C04A3" w:rsidRPr="00FF35D8" w:rsidRDefault="0074308E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For proposed excipients </w:t>
            </w:r>
            <w:r w:rsidR="003C04A3" w:rsidRPr="00FF35D8">
              <w:rPr>
                <w:rFonts w:ascii="Arial" w:hAnsi="Arial" w:cs="Arial"/>
              </w:rPr>
              <w:t>derived from TSE-relevant animals (i.e.</w:t>
            </w:r>
            <w:r w:rsidR="00065635">
              <w:rPr>
                <w:rFonts w:ascii="Arial" w:hAnsi="Arial" w:cs="Arial"/>
              </w:rPr>
              <w:t>,</w:t>
            </w:r>
            <w:r w:rsidR="003C04A3" w:rsidRPr="00FF35D8">
              <w:rPr>
                <w:rFonts w:ascii="Arial" w:hAnsi="Arial" w:cs="Arial"/>
              </w:rPr>
              <w:t xml:space="preserve"> cattle, sheep, goat, deer, elk, non-human primates):</w:t>
            </w:r>
          </w:p>
          <w:p w14:paraId="24944734" w14:textId="77777777" w:rsidR="003C04A3" w:rsidRPr="00FF35D8" w:rsidRDefault="003C04A3" w:rsidP="00FF35D8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680" w:hanging="29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 valid TSE Risk evaluation CEP; or</w:t>
            </w:r>
          </w:p>
          <w:p w14:paraId="677C6862" w14:textId="77777777" w:rsidR="003C04A3" w:rsidRPr="00FF35D8" w:rsidRDefault="003C04A3" w:rsidP="00FF35D8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680" w:hanging="283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If CEP is not available,</w:t>
            </w:r>
          </w:p>
          <w:p w14:paraId="2ABD7748" w14:textId="77777777" w:rsidR="003C04A3" w:rsidRPr="00FF35D8" w:rsidRDefault="003C04A3" w:rsidP="00FF35D8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1030" w:hanging="15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Description of the tissue/organ/fluid-collection procedures and measures in place to avoid cross-contamination.</w:t>
            </w:r>
          </w:p>
          <w:p w14:paraId="4195CC6A" w14:textId="52176453" w:rsidR="003C04A3" w:rsidRPr="00FF35D8" w:rsidRDefault="003C04A3" w:rsidP="00FF35D8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1030" w:hanging="15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Details of the risk factors associated with the route of administration and maximum therapeutic dosage of the </w:t>
            </w:r>
            <w:r w:rsidR="00694BEC" w:rsidRPr="00FF35D8">
              <w:rPr>
                <w:rFonts w:ascii="Arial" w:hAnsi="Arial" w:cs="Arial"/>
              </w:rPr>
              <w:t xml:space="preserve">drug </w:t>
            </w:r>
            <w:r w:rsidRPr="00FF35D8">
              <w:rPr>
                <w:rFonts w:ascii="Arial" w:hAnsi="Arial" w:cs="Arial"/>
              </w:rPr>
              <w:t>product.</w:t>
            </w:r>
          </w:p>
          <w:p w14:paraId="2ACFCE62" w14:textId="77777777" w:rsidR="003C04A3" w:rsidRPr="00FF35D8" w:rsidRDefault="003C04A3" w:rsidP="00FF35D8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1030" w:hanging="150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Relevant information demonstrating that the manufacturing process is capable of inactivating TSE agents.</w:t>
            </w:r>
          </w:p>
          <w:p w14:paraId="6A565DE7" w14:textId="77777777" w:rsidR="0074308E" w:rsidRPr="00FF35D8" w:rsidRDefault="0074308E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Revised release and shelf-life specifications of the drug product.</w:t>
            </w:r>
          </w:p>
          <w:p w14:paraId="0E5D682C" w14:textId="7D332E28" w:rsidR="0074308E" w:rsidRPr="00FF35D8" w:rsidRDefault="007D25E4" w:rsidP="00FF35D8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  <w:lang w:val="en-GB"/>
              </w:rPr>
              <w:t>A commitment letter to complete the on-going</w:t>
            </w:r>
            <w:r w:rsidRPr="00FF35D8">
              <w:rPr>
                <w:rFonts w:ascii="Arial" w:hAnsi="Arial" w:cs="Arial"/>
              </w:rPr>
              <w:t xml:space="preserve"> stability studies to support the approved shelf life. </w:t>
            </w:r>
            <w:r w:rsidRPr="00FF35D8">
              <w:rPr>
                <w:rFonts w:ascii="Arial" w:hAnsi="Arial" w:cs="Arial"/>
                <w:lang w:val="en-US"/>
              </w:rPr>
              <w:t xml:space="preserve">The product registrant shall report to the Health Sciences Authority of any out-of-specification result (with proposed action). </w:t>
            </w:r>
            <w:r w:rsidRPr="00FF35D8">
              <w:rPr>
                <w:rFonts w:ascii="Arial" w:hAnsi="Arial" w:cs="Arial"/>
                <w:iCs/>
              </w:rPr>
              <w:t>Submission of the data in the form of a finalised report is not required but the data shall be provided to the Health Sciences Authority upon request.</w:t>
            </w:r>
          </w:p>
        </w:tc>
      </w:tr>
    </w:tbl>
    <w:p w14:paraId="254731AF" w14:textId="77777777" w:rsidR="0074308E" w:rsidRPr="00FF35D8" w:rsidRDefault="0074308E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05"/>
      </w:tblGrid>
      <w:tr w:rsidR="0074308E" w:rsidRPr="00FF35D8" w14:paraId="2D38D965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F2D" w14:textId="19099859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68" w:name="_Toc361039816"/>
            <w:bookmarkStart w:id="69" w:name="_Toc361039986"/>
            <w:bookmarkStart w:id="70" w:name="_Toc361040029"/>
            <w:bookmarkStart w:id="71" w:name="_Toc376178623"/>
            <w:bookmarkStart w:id="72" w:name="_Toc534897215"/>
            <w:bookmarkStart w:id="73" w:name="_Toc99038409"/>
            <w:r w:rsidRPr="00FF35D8">
              <w:rPr>
                <w:rFonts w:cs="Arial"/>
                <w:sz w:val="22"/>
              </w:rPr>
              <w:t xml:space="preserve">C7 </w:t>
            </w:r>
            <w:r w:rsidR="009D4454" w:rsidRPr="00FF35D8">
              <w:rPr>
                <w:rFonts w:cs="Arial"/>
                <w:sz w:val="22"/>
              </w:rPr>
              <w:t xml:space="preserve">  </w:t>
            </w:r>
            <w:r w:rsidR="003E74B8" w:rsidRPr="00FF35D8">
              <w:rPr>
                <w:rFonts w:cs="Arial"/>
                <w:sz w:val="22"/>
              </w:rPr>
              <w:t xml:space="preserve"> </w:t>
            </w:r>
            <w:r w:rsidRPr="00FF35D8">
              <w:rPr>
                <w:rFonts w:cs="Arial"/>
                <w:sz w:val="22"/>
              </w:rPr>
              <w:t xml:space="preserve">Deletion of </w:t>
            </w:r>
            <w:r w:rsidR="009D4454" w:rsidRPr="00FF35D8">
              <w:rPr>
                <w:rFonts w:cs="Arial"/>
                <w:sz w:val="22"/>
              </w:rPr>
              <w:t>S</w:t>
            </w:r>
            <w:r w:rsidRPr="00FF35D8">
              <w:rPr>
                <w:rFonts w:cs="Arial"/>
                <w:sz w:val="22"/>
              </w:rPr>
              <w:t>olvent/</w:t>
            </w:r>
            <w:r w:rsidR="009D4454" w:rsidRPr="00FF35D8">
              <w:rPr>
                <w:rFonts w:cs="Arial"/>
                <w:sz w:val="22"/>
              </w:rPr>
              <w:t>D</w:t>
            </w:r>
            <w:r w:rsidRPr="00FF35D8">
              <w:rPr>
                <w:rFonts w:cs="Arial"/>
                <w:sz w:val="22"/>
              </w:rPr>
              <w:t xml:space="preserve">iluent for </w:t>
            </w:r>
            <w:r w:rsidR="009D4454" w:rsidRPr="00FF35D8">
              <w:rPr>
                <w:rFonts w:cs="Arial"/>
                <w:sz w:val="22"/>
              </w:rPr>
              <w:t>D</w:t>
            </w:r>
            <w:r w:rsidRPr="00FF35D8">
              <w:rPr>
                <w:rFonts w:cs="Arial"/>
                <w:sz w:val="22"/>
              </w:rPr>
              <w:t xml:space="preserve">rug </w:t>
            </w:r>
            <w:r w:rsidR="009D4454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>roduct</w:t>
            </w:r>
            <w:bookmarkEnd w:id="68"/>
            <w:bookmarkEnd w:id="69"/>
            <w:bookmarkEnd w:id="70"/>
            <w:bookmarkEnd w:id="71"/>
            <w:bookmarkEnd w:id="72"/>
            <w:bookmarkEnd w:id="73"/>
          </w:p>
        </w:tc>
      </w:tr>
      <w:tr w:rsidR="0074308E" w:rsidRPr="00FF35D8" w14:paraId="35A6583E" w14:textId="77777777" w:rsidTr="009D44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8F8CC6F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BC7A8DE" w14:textId="674DA7D1" w:rsidR="0074308E" w:rsidRPr="00FF35D8" w:rsidRDefault="0074308E" w:rsidP="00FF35D8">
            <w:pPr>
              <w:numPr>
                <w:ilvl w:val="0"/>
                <w:numId w:val="14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The proposed change does not result in any change in the dosage form, regimen, indication</w:t>
            </w:r>
            <w:r w:rsidR="009D4454" w:rsidRPr="00FF35D8">
              <w:rPr>
                <w:rFonts w:cs="Arial"/>
              </w:rPr>
              <w:t xml:space="preserve"> or</w:t>
            </w:r>
            <w:r w:rsidRPr="00FF35D8">
              <w:rPr>
                <w:rFonts w:cs="Arial"/>
              </w:rPr>
              <w:t xml:space="preserve"> method of administration of the </w:t>
            </w:r>
            <w:r w:rsidR="00694BEC" w:rsidRPr="00FF35D8">
              <w:rPr>
                <w:rFonts w:cs="Arial"/>
              </w:rPr>
              <w:t xml:space="preserve">drug </w:t>
            </w:r>
            <w:r w:rsidRPr="00FF35D8">
              <w:rPr>
                <w:rFonts w:cs="Arial"/>
              </w:rPr>
              <w:t>product.</w:t>
            </w:r>
          </w:p>
        </w:tc>
      </w:tr>
      <w:tr w:rsidR="0074308E" w:rsidRPr="00FF35D8" w14:paraId="4245C3F9" w14:textId="77777777" w:rsidTr="009D44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549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54A" w14:textId="77777777" w:rsidR="0074308E" w:rsidRPr="00FF35D8" w:rsidRDefault="0074308E" w:rsidP="00FF35D8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Revised drafts of the package insert and labelling incorporating the proposed variation (where applicable). </w:t>
            </w:r>
          </w:p>
          <w:p w14:paraId="41BB1492" w14:textId="77777777" w:rsidR="0074308E" w:rsidRPr="00FF35D8" w:rsidRDefault="0074308E" w:rsidP="00FF35D8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Justification for the deletion of the solvent/diluent, including a statement regarding alternative means to obtain the solvent/diluent.</w:t>
            </w:r>
          </w:p>
          <w:p w14:paraId="4110F2F7" w14:textId="77777777" w:rsidR="0074308E" w:rsidRPr="00FF35D8" w:rsidRDefault="0074308E" w:rsidP="00FF35D8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Amended relevant CTD Section P (where applicable).</w:t>
            </w:r>
          </w:p>
        </w:tc>
      </w:tr>
    </w:tbl>
    <w:p w14:paraId="097C03EC" w14:textId="77777777" w:rsidR="00FF2000" w:rsidRPr="00FF35D8" w:rsidRDefault="00FF2000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49C01E3D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1A9463AA" w14:textId="2F6AA5F3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8" w:hanging="578"/>
              <w:rPr>
                <w:rFonts w:cs="Arial"/>
                <w:sz w:val="22"/>
              </w:rPr>
            </w:pPr>
            <w:r w:rsidRPr="00FF35D8">
              <w:rPr>
                <w:rFonts w:cs="Arial"/>
                <w:sz w:val="22"/>
              </w:rPr>
              <w:br w:type="page"/>
            </w:r>
            <w:bookmarkStart w:id="74" w:name="_Toc361039817"/>
            <w:bookmarkStart w:id="75" w:name="_Toc361039987"/>
            <w:bookmarkStart w:id="76" w:name="_Toc361040030"/>
            <w:bookmarkStart w:id="77" w:name="_Toc376178624"/>
            <w:bookmarkStart w:id="78" w:name="_Toc534897216"/>
            <w:bookmarkStart w:id="79" w:name="_Toc99038410"/>
            <w:bookmarkStart w:id="80" w:name="MiV_PA21" w:colFirst="1" w:colLast="1"/>
            <w:bookmarkStart w:id="81" w:name="MiV_PA22" w:colFirst="1" w:colLast="1"/>
            <w:bookmarkEnd w:id="67"/>
            <w:r w:rsidRPr="00FF35D8">
              <w:rPr>
                <w:rFonts w:cs="Arial"/>
                <w:sz w:val="22"/>
              </w:rPr>
              <w:t xml:space="preserve">C8 </w:t>
            </w:r>
            <w:r w:rsidR="009D4454" w:rsidRPr="00FF35D8">
              <w:rPr>
                <w:rFonts w:cs="Arial"/>
                <w:sz w:val="22"/>
              </w:rPr>
              <w:t xml:space="preserve">  </w:t>
            </w:r>
            <w:r w:rsidR="003E74B8" w:rsidRPr="00FF35D8">
              <w:rPr>
                <w:rFonts w:cs="Arial"/>
                <w:sz w:val="22"/>
              </w:rPr>
              <w:t xml:space="preserve"> </w:t>
            </w:r>
            <w:r w:rsidRPr="00FF35D8">
              <w:rPr>
                <w:rFonts w:cs="Arial"/>
                <w:sz w:val="22"/>
              </w:rPr>
              <w:t xml:space="preserve">Change of </w:t>
            </w:r>
            <w:r w:rsidR="009D4454" w:rsidRPr="00FF35D8">
              <w:rPr>
                <w:rFonts w:cs="Arial"/>
                <w:sz w:val="22"/>
              </w:rPr>
              <w:t>S</w:t>
            </w:r>
            <w:r w:rsidRPr="00FF35D8">
              <w:rPr>
                <w:rFonts w:cs="Arial"/>
                <w:sz w:val="22"/>
              </w:rPr>
              <w:t xml:space="preserve">pecification of </w:t>
            </w:r>
            <w:r w:rsidR="003C7DD0" w:rsidRPr="00FF35D8">
              <w:rPr>
                <w:rFonts w:cs="Arial"/>
                <w:sz w:val="22"/>
              </w:rPr>
              <w:t xml:space="preserve">Non-compendial </w:t>
            </w:r>
            <w:r w:rsidR="009D4454" w:rsidRPr="00FF35D8">
              <w:rPr>
                <w:rFonts w:cs="Arial"/>
                <w:sz w:val="22"/>
              </w:rPr>
              <w:t>E</w:t>
            </w:r>
            <w:r w:rsidRPr="00FF35D8">
              <w:rPr>
                <w:rFonts w:cs="Arial"/>
                <w:sz w:val="22"/>
              </w:rPr>
              <w:t>xcipient</w:t>
            </w:r>
            <w:bookmarkEnd w:id="74"/>
            <w:bookmarkEnd w:id="75"/>
            <w:bookmarkEnd w:id="76"/>
            <w:bookmarkEnd w:id="77"/>
            <w:bookmarkEnd w:id="78"/>
            <w:bookmarkEnd w:id="79"/>
            <w:r w:rsidRPr="00FF35D8">
              <w:rPr>
                <w:rFonts w:cs="Arial"/>
                <w:sz w:val="22"/>
              </w:rPr>
              <w:t xml:space="preserve"> </w:t>
            </w:r>
          </w:p>
        </w:tc>
      </w:tr>
      <w:bookmarkEnd w:id="80"/>
      <w:tr w:rsidR="0074308E" w:rsidRPr="00FF35D8" w14:paraId="7BACA808" w14:textId="77777777" w:rsidTr="004F3F2A">
        <w:tc>
          <w:tcPr>
            <w:tcW w:w="279" w:type="dxa"/>
          </w:tcPr>
          <w:p w14:paraId="6A54EDD0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573434BB" w14:textId="559D20C9" w:rsidR="0074308E" w:rsidRDefault="00F15F24" w:rsidP="00FF35D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82"/>
              <w:rPr>
                <w:rFonts w:cs="Arial"/>
              </w:rPr>
            </w:pPr>
            <w:r w:rsidRPr="00FF35D8">
              <w:rPr>
                <w:rFonts w:cs="Arial"/>
              </w:rPr>
              <w:t>Addition or replacement of a specification parameter and limit</w:t>
            </w:r>
            <w:r w:rsidR="00B13432" w:rsidRPr="00FF35D8">
              <w:rPr>
                <w:rFonts w:cs="Arial"/>
              </w:rPr>
              <w:t xml:space="preserve"> of the excipient</w:t>
            </w:r>
            <w:r w:rsidRPr="00FF35D8">
              <w:rPr>
                <w:rFonts w:cs="Arial"/>
              </w:rPr>
              <w:t xml:space="preserve">. </w:t>
            </w:r>
            <w:r w:rsidR="00B13432" w:rsidRPr="00FF35D8">
              <w:rPr>
                <w:rFonts w:cs="Arial"/>
              </w:rPr>
              <w:t>For widening of specification limits or deletion of significant test parameter and limits of the excipient, refer to MIV-1 B18.</w:t>
            </w:r>
            <w:r w:rsidR="00FE2D2C">
              <w:rPr>
                <w:rFonts w:cs="Arial"/>
              </w:rPr>
              <w:t xml:space="preserve"> </w:t>
            </w:r>
            <w:r w:rsidR="0074308E" w:rsidRPr="00FF35D8">
              <w:rPr>
                <w:rFonts w:cs="Arial"/>
              </w:rPr>
              <w:t>Release and shelf</w:t>
            </w:r>
            <w:r w:rsidR="00171A74" w:rsidRPr="00FF35D8">
              <w:rPr>
                <w:rFonts w:cs="Arial"/>
              </w:rPr>
              <w:t xml:space="preserve"> </w:t>
            </w:r>
            <w:r w:rsidR="0074308E" w:rsidRPr="00FF35D8">
              <w:rPr>
                <w:rFonts w:cs="Arial"/>
              </w:rPr>
              <w:t>life specifications of drug product remain unchanged.</w:t>
            </w:r>
          </w:p>
          <w:p w14:paraId="64118EBD" w14:textId="5B7111A1" w:rsidR="007C5097" w:rsidRPr="007C5097" w:rsidRDefault="00B640AF" w:rsidP="007C509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82"/>
              <w:rPr>
                <w:rFonts w:cs="Arial"/>
              </w:rPr>
            </w:pPr>
            <w:r>
              <w:rPr>
                <w:rFonts w:cs="Arial"/>
              </w:rPr>
              <w:t>Notification is not required for a</w:t>
            </w:r>
            <w:r w:rsidR="007C5097" w:rsidRPr="001A41D4">
              <w:rPr>
                <w:rFonts w:cs="Arial"/>
              </w:rPr>
              <w:t xml:space="preserve"> change in the supplier for the </w:t>
            </w:r>
            <w:r w:rsidR="007C5097">
              <w:rPr>
                <w:rFonts w:cs="Arial"/>
              </w:rPr>
              <w:t>excipient</w:t>
            </w:r>
            <w:r w:rsidR="007C5097" w:rsidRPr="001A41D4">
              <w:rPr>
                <w:rFonts w:cs="Arial"/>
              </w:rPr>
              <w:t xml:space="preserve"> with the same specification. </w:t>
            </w:r>
          </w:p>
          <w:p w14:paraId="5802BA29" w14:textId="7BB6D60A" w:rsidR="0074308E" w:rsidRPr="00FF35D8" w:rsidRDefault="0074308E" w:rsidP="00FF35D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 w:line="240" w:lineRule="auto"/>
              <w:ind w:left="382"/>
              <w:rPr>
                <w:rFonts w:cs="Arial"/>
              </w:rPr>
            </w:pPr>
            <w:r w:rsidRPr="00FF35D8">
              <w:rPr>
                <w:rFonts w:cs="Arial"/>
              </w:rPr>
              <w:t>Applicable to non</w:t>
            </w:r>
            <w:r w:rsidR="00F15F24" w:rsidRPr="00FF35D8">
              <w:rPr>
                <w:rFonts w:cs="Arial"/>
              </w:rPr>
              <w:t>-</w:t>
            </w:r>
            <w:r w:rsidRPr="00FF35D8">
              <w:rPr>
                <w:rFonts w:cs="Arial"/>
              </w:rPr>
              <w:t xml:space="preserve">compendial excipients. For compendial excipients, refer to </w:t>
            </w:r>
            <w:r w:rsidR="00323936" w:rsidRPr="00FF35D8">
              <w:rPr>
                <w:rFonts w:cs="Arial"/>
              </w:rPr>
              <w:br/>
            </w:r>
            <w:r w:rsidRPr="00FF35D8">
              <w:rPr>
                <w:rFonts w:cs="Arial"/>
              </w:rPr>
              <w:t xml:space="preserve">MIV-2 </w:t>
            </w:r>
            <w:r w:rsidR="000C099F" w:rsidRPr="00FF35D8">
              <w:rPr>
                <w:rFonts w:cs="Arial"/>
              </w:rPr>
              <w:t>D8</w:t>
            </w:r>
            <w:r w:rsidRPr="00FF35D8">
              <w:rPr>
                <w:rFonts w:cs="Arial"/>
              </w:rPr>
              <w:t>.</w:t>
            </w:r>
          </w:p>
        </w:tc>
      </w:tr>
      <w:tr w:rsidR="0074308E" w:rsidRPr="00FF35D8" w14:paraId="29B79B29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29B745C0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lastRenderedPageBreak/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715E7AD3" w14:textId="77777777" w:rsidR="00B13432" w:rsidRPr="00FF35D8" w:rsidRDefault="003C7DD0" w:rsidP="00FF35D8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120" w:line="240" w:lineRule="auto"/>
              <w:ind w:left="340"/>
              <w:rPr>
                <w:rFonts w:cs="Arial"/>
              </w:rPr>
            </w:pPr>
            <w:r w:rsidRPr="00FF35D8">
              <w:rPr>
                <w:rFonts w:cs="Arial"/>
              </w:rPr>
              <w:t>A declaration from the product registrant that the change does not impact the quality and safety of the drug product.</w:t>
            </w:r>
            <w:r w:rsidR="00B13432" w:rsidRPr="00FF35D8">
              <w:rPr>
                <w:rFonts w:cs="Arial"/>
              </w:rPr>
              <w:t xml:space="preserve"> </w:t>
            </w:r>
          </w:p>
          <w:p w14:paraId="1A7E6466" w14:textId="380D2999" w:rsidR="003C7DD0" w:rsidRPr="00FF35D8" w:rsidRDefault="00B13432" w:rsidP="00FF35D8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120" w:line="240" w:lineRule="auto"/>
              <w:ind w:left="340"/>
              <w:rPr>
                <w:rFonts w:cs="Arial"/>
              </w:rPr>
            </w:pPr>
            <w:r w:rsidRPr="00FF35D8">
              <w:rPr>
                <w:rFonts w:cs="Arial"/>
              </w:rPr>
              <w:t xml:space="preserve">Revised specification of the excipient. </w:t>
            </w:r>
          </w:p>
          <w:p w14:paraId="2E4B3E34" w14:textId="0E55EBAD" w:rsidR="0074308E" w:rsidRPr="00FF35D8" w:rsidRDefault="0074308E" w:rsidP="00FF35D8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120" w:line="240" w:lineRule="auto"/>
              <w:ind w:left="340"/>
              <w:rPr>
                <w:rFonts w:cs="Arial"/>
              </w:rPr>
            </w:pPr>
            <w:r w:rsidRPr="00FF35D8">
              <w:rPr>
                <w:rFonts w:cs="Arial"/>
              </w:rPr>
              <w:t>Description of new method and summary of analytical validation</w:t>
            </w:r>
            <w:r w:rsidR="00B13432" w:rsidRPr="00FF35D8">
              <w:rPr>
                <w:rFonts w:cs="Arial"/>
              </w:rPr>
              <w:t xml:space="preserve"> (where applicable)</w:t>
            </w:r>
            <w:r w:rsidRPr="00FF35D8">
              <w:rPr>
                <w:rFonts w:cs="Arial"/>
              </w:rPr>
              <w:t>.</w:t>
            </w:r>
            <w:r w:rsidR="00252487">
              <w:rPr>
                <w:rFonts w:cs="Arial"/>
              </w:rPr>
              <w:t xml:space="preserve"> </w:t>
            </w:r>
            <w:r w:rsidRPr="00FF35D8">
              <w:rPr>
                <w:rFonts w:cs="Arial"/>
              </w:rPr>
              <w:t xml:space="preserve">Comparative tabulated format of the </w:t>
            </w:r>
            <w:r w:rsidR="00ED7B4E" w:rsidRPr="00FF35D8">
              <w:rPr>
                <w:rFonts w:cs="Arial"/>
              </w:rPr>
              <w:t>approved</w:t>
            </w:r>
            <w:r w:rsidRPr="00FF35D8">
              <w:rPr>
                <w:rFonts w:cs="Arial"/>
              </w:rPr>
              <w:t xml:space="preserve"> and </w:t>
            </w:r>
            <w:r w:rsidR="00171A74" w:rsidRPr="00FF35D8">
              <w:rPr>
                <w:rFonts w:cs="Arial"/>
              </w:rPr>
              <w:t>proposed</w:t>
            </w:r>
            <w:r w:rsidRPr="00FF35D8">
              <w:rPr>
                <w:rFonts w:cs="Arial"/>
              </w:rPr>
              <w:t xml:space="preserve"> specification of the excipient with changes highlighted.</w:t>
            </w:r>
          </w:p>
          <w:p w14:paraId="179E29D5" w14:textId="071FF0E2" w:rsidR="0074308E" w:rsidRPr="00FF35D8" w:rsidRDefault="00B53EC0" w:rsidP="00FF35D8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120" w:line="240" w:lineRule="auto"/>
              <w:ind w:left="340"/>
              <w:rPr>
                <w:rFonts w:cs="Arial"/>
              </w:rPr>
            </w:pPr>
            <w:r w:rsidRPr="00FF35D8">
              <w:rPr>
                <w:rFonts w:cs="Arial"/>
              </w:rPr>
              <w:t xml:space="preserve">Certificate of analysis or batch </w:t>
            </w:r>
            <w:r w:rsidR="0074308E" w:rsidRPr="00FF35D8">
              <w:rPr>
                <w:rFonts w:cs="Arial"/>
              </w:rPr>
              <w:t xml:space="preserve">analysis data </w:t>
            </w:r>
            <w:r w:rsidR="00F0129D" w:rsidRPr="00FF35D8">
              <w:rPr>
                <w:rFonts w:cs="Arial"/>
              </w:rPr>
              <w:t xml:space="preserve">of at least one batch </w:t>
            </w:r>
            <w:r w:rsidR="0074308E" w:rsidRPr="00FF35D8">
              <w:rPr>
                <w:rFonts w:cs="Arial"/>
              </w:rPr>
              <w:t>of the excipient</w:t>
            </w:r>
            <w:r w:rsidR="00F0129D" w:rsidRPr="00FF35D8">
              <w:rPr>
                <w:rFonts w:cs="Arial"/>
              </w:rPr>
              <w:t xml:space="preserve"> </w:t>
            </w:r>
            <w:r w:rsidR="0074308E" w:rsidRPr="00FF35D8">
              <w:rPr>
                <w:rFonts w:cs="Arial"/>
              </w:rPr>
              <w:t xml:space="preserve">for all tests in the </w:t>
            </w:r>
            <w:r w:rsidR="00171A74" w:rsidRPr="00FF35D8">
              <w:rPr>
                <w:rFonts w:cs="Arial"/>
              </w:rPr>
              <w:t>proposed</w:t>
            </w:r>
            <w:r w:rsidR="0074308E" w:rsidRPr="00FF35D8">
              <w:rPr>
                <w:rFonts w:cs="Arial"/>
              </w:rPr>
              <w:t xml:space="preserve"> specification.</w:t>
            </w:r>
          </w:p>
        </w:tc>
      </w:tr>
    </w:tbl>
    <w:p w14:paraId="323366D2" w14:textId="77777777" w:rsidR="00776599" w:rsidRPr="00FF35D8" w:rsidRDefault="00776599" w:rsidP="00FF35D8">
      <w:pPr>
        <w:spacing w:before="120" w:after="120" w:line="240" w:lineRule="auto"/>
        <w:ind w:firstLine="284"/>
        <w:rPr>
          <w:rFonts w:cs="Arial"/>
        </w:rPr>
      </w:pPr>
      <w:bookmarkStart w:id="82" w:name="MiV_PA28" w:colFirst="1" w:colLast="1"/>
      <w:bookmarkEnd w:id="81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74C67A62" w14:textId="77777777" w:rsidTr="0074308E">
        <w:trPr>
          <w:trHeight w:val="738"/>
        </w:trPr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78FC55EF" w14:textId="6F68B270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tabs>
                <w:tab w:val="left" w:pos="5880"/>
              </w:tabs>
              <w:spacing w:line="240" w:lineRule="auto"/>
              <w:ind w:left="530" w:hanging="530"/>
              <w:rPr>
                <w:rFonts w:cs="Arial"/>
                <w:sz w:val="22"/>
              </w:rPr>
            </w:pPr>
            <w:bookmarkStart w:id="83" w:name="_Toc361039818"/>
            <w:bookmarkStart w:id="84" w:name="_Toc361039988"/>
            <w:bookmarkStart w:id="85" w:name="_Toc361040031"/>
            <w:bookmarkStart w:id="86" w:name="_Toc376178625"/>
            <w:bookmarkStart w:id="87" w:name="_Toc534897217"/>
            <w:bookmarkStart w:id="88" w:name="_Toc99038411"/>
            <w:r w:rsidRPr="00FF35D8">
              <w:rPr>
                <w:rFonts w:cs="Arial"/>
                <w:sz w:val="22"/>
              </w:rPr>
              <w:t xml:space="preserve">C9 </w:t>
            </w:r>
            <w:r w:rsidR="005A53C9" w:rsidRPr="00FF35D8">
              <w:rPr>
                <w:rFonts w:cs="Arial"/>
                <w:sz w:val="22"/>
              </w:rPr>
              <w:t xml:space="preserve">  C</w:t>
            </w:r>
            <w:r w:rsidRPr="00FF35D8">
              <w:rPr>
                <w:rFonts w:cs="Arial"/>
                <w:sz w:val="22"/>
              </w:rPr>
              <w:t xml:space="preserve">hange in </w:t>
            </w:r>
            <w:r w:rsidR="005A53C9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 xml:space="preserve">rimary </w:t>
            </w:r>
            <w:r w:rsidR="005A53C9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 xml:space="preserve">ackaging </w:t>
            </w:r>
            <w:r w:rsidR="005A53C9" w:rsidRPr="00FF35D8">
              <w:rPr>
                <w:rFonts w:cs="Arial"/>
                <w:sz w:val="22"/>
              </w:rPr>
              <w:t>M</w:t>
            </w:r>
            <w:r w:rsidRPr="00FF35D8">
              <w:rPr>
                <w:rFonts w:cs="Arial"/>
                <w:sz w:val="22"/>
              </w:rPr>
              <w:t>ateria</w:t>
            </w:r>
            <w:bookmarkEnd w:id="83"/>
            <w:bookmarkEnd w:id="84"/>
            <w:bookmarkEnd w:id="85"/>
            <w:r w:rsidRPr="00FF35D8">
              <w:rPr>
                <w:rFonts w:cs="Arial"/>
                <w:sz w:val="22"/>
              </w:rPr>
              <w:t xml:space="preserve">l for </w:t>
            </w:r>
            <w:r w:rsidR="005A53C9" w:rsidRPr="00FF35D8">
              <w:rPr>
                <w:rFonts w:cs="Arial"/>
                <w:sz w:val="22"/>
              </w:rPr>
              <w:t>N</w:t>
            </w:r>
            <w:r w:rsidRPr="00FF35D8">
              <w:rPr>
                <w:rFonts w:cs="Arial"/>
                <w:sz w:val="22"/>
              </w:rPr>
              <w:t xml:space="preserve">on-sterile </w:t>
            </w:r>
            <w:r w:rsidR="003C7DD0" w:rsidRPr="00FF35D8">
              <w:rPr>
                <w:rFonts w:cs="Arial"/>
                <w:sz w:val="22"/>
              </w:rPr>
              <w:t xml:space="preserve">Drug </w:t>
            </w:r>
            <w:r w:rsidR="005A53C9" w:rsidRPr="00FF35D8">
              <w:rPr>
                <w:rFonts w:cs="Arial"/>
                <w:sz w:val="22"/>
              </w:rPr>
              <w:t>S</w:t>
            </w:r>
            <w:r w:rsidRPr="00FF35D8">
              <w:rPr>
                <w:rFonts w:cs="Arial"/>
                <w:sz w:val="22"/>
              </w:rPr>
              <w:t xml:space="preserve">ubstance or </w:t>
            </w:r>
            <w:r w:rsidR="00694BEC" w:rsidRPr="00FF35D8">
              <w:rPr>
                <w:rFonts w:cs="Arial"/>
                <w:sz w:val="22"/>
              </w:rPr>
              <w:t xml:space="preserve">Drug </w:t>
            </w:r>
            <w:r w:rsidR="005A53C9" w:rsidRPr="00FF35D8">
              <w:rPr>
                <w:rFonts w:cs="Arial"/>
                <w:sz w:val="22"/>
              </w:rPr>
              <w:t>P</w:t>
            </w:r>
            <w:r w:rsidRPr="00FF35D8">
              <w:rPr>
                <w:rFonts w:cs="Arial"/>
                <w:sz w:val="22"/>
              </w:rPr>
              <w:t>roduct</w:t>
            </w:r>
            <w:bookmarkEnd w:id="86"/>
            <w:bookmarkEnd w:id="87"/>
            <w:bookmarkEnd w:id="88"/>
          </w:p>
          <w:p w14:paraId="0379B541" w14:textId="0C9EAA21" w:rsidR="0074308E" w:rsidRPr="00FF35D8" w:rsidRDefault="00171A74" w:rsidP="00FF35D8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851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Change in q</w:t>
            </w:r>
            <w:r w:rsidR="0074308E" w:rsidRPr="00FF35D8">
              <w:rPr>
                <w:rFonts w:ascii="Arial" w:hAnsi="Arial" w:cs="Arial"/>
              </w:rPr>
              <w:t>ualitative and quantitative composition</w:t>
            </w:r>
            <w:r w:rsidR="00323936" w:rsidRPr="00FF35D8">
              <w:rPr>
                <w:rFonts w:ascii="Arial" w:hAnsi="Arial" w:cs="Arial"/>
              </w:rPr>
              <w:t>.</w:t>
            </w:r>
          </w:p>
          <w:p w14:paraId="6F2B22CD" w14:textId="1FA2DCB7" w:rsidR="0074308E" w:rsidRPr="00FF35D8" w:rsidRDefault="00171A74" w:rsidP="00FF35D8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851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Change in </w:t>
            </w:r>
            <w:r w:rsidR="00B13432" w:rsidRPr="00FF35D8">
              <w:rPr>
                <w:rFonts w:ascii="Arial" w:hAnsi="Arial" w:cs="Arial"/>
              </w:rPr>
              <w:t xml:space="preserve">same packaging / </w:t>
            </w:r>
            <w:r w:rsidRPr="00FF35D8">
              <w:rPr>
                <w:rFonts w:ascii="Arial" w:hAnsi="Arial" w:cs="Arial"/>
              </w:rPr>
              <w:t>t</w:t>
            </w:r>
            <w:r w:rsidR="0074308E" w:rsidRPr="00FF35D8">
              <w:rPr>
                <w:rFonts w:ascii="Arial" w:hAnsi="Arial" w:cs="Arial"/>
              </w:rPr>
              <w:t>ype of container</w:t>
            </w:r>
            <w:r w:rsidR="00323936" w:rsidRPr="00FF35D8">
              <w:rPr>
                <w:rFonts w:ascii="Arial" w:hAnsi="Arial" w:cs="Arial"/>
              </w:rPr>
              <w:t>.</w:t>
            </w:r>
          </w:p>
          <w:p w14:paraId="64E30868" w14:textId="21963C56" w:rsidR="0074308E" w:rsidRPr="00FF35D8" w:rsidRDefault="0074308E" w:rsidP="00FF35D8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851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Inclusion of </w:t>
            </w:r>
            <w:r w:rsidR="00171A74" w:rsidRPr="00FF35D8">
              <w:rPr>
                <w:rFonts w:ascii="Arial" w:hAnsi="Arial" w:cs="Arial"/>
              </w:rPr>
              <w:t xml:space="preserve">new </w:t>
            </w:r>
            <w:r w:rsidRPr="00FF35D8">
              <w:rPr>
                <w:rFonts w:ascii="Arial" w:hAnsi="Arial" w:cs="Arial"/>
              </w:rPr>
              <w:t>primary packaging material</w:t>
            </w:r>
            <w:r w:rsidR="005A53C9" w:rsidRPr="00FF35D8">
              <w:rPr>
                <w:rFonts w:ascii="Arial" w:hAnsi="Arial" w:cs="Arial"/>
              </w:rPr>
              <w:t>.</w:t>
            </w:r>
          </w:p>
        </w:tc>
      </w:tr>
      <w:tr w:rsidR="0074308E" w:rsidRPr="00FF35D8" w14:paraId="0D9637F4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7D52046C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13EAFD00" w14:textId="222DDF43" w:rsidR="00B13432" w:rsidRPr="00FF35D8" w:rsidRDefault="00B13432" w:rsidP="00186DF7">
            <w:pPr>
              <w:numPr>
                <w:ilvl w:val="0"/>
                <w:numId w:val="24"/>
              </w:numPr>
              <w:spacing w:before="120" w:after="120" w:line="240" w:lineRule="auto"/>
              <w:ind w:left="487"/>
              <w:rPr>
                <w:rFonts w:cs="Arial"/>
              </w:rPr>
            </w:pPr>
            <w:r w:rsidRPr="00FF35D8">
              <w:rPr>
                <w:rFonts w:cs="Arial"/>
              </w:rPr>
              <w:t>The variation should not be submitted as a result of unexpected events that may lead to product defects. Variation is only to be submitted after c</w:t>
            </w:r>
            <w:r w:rsidRPr="00FF35D8">
              <w:rPr>
                <w:rFonts w:cs="Arial"/>
                <w:iCs/>
                <w:lang w:eastAsia="en-US"/>
              </w:rPr>
              <w:t>oncerns have been addressed and CAPAs concurred.</w:t>
            </w:r>
            <w:r w:rsidRPr="00FF35D8">
              <w:rPr>
                <w:rFonts w:cs="Arial"/>
                <w:i/>
                <w:iCs/>
                <w:lang w:eastAsia="en-US"/>
              </w:rPr>
              <w:t xml:space="preserve">  </w:t>
            </w:r>
            <w:r w:rsidRPr="00FF35D8">
              <w:rPr>
                <w:rFonts w:cs="Arial"/>
              </w:rPr>
              <w:t xml:space="preserve">Refer to the </w:t>
            </w:r>
            <w:r w:rsidRPr="00FF35D8">
              <w:rPr>
                <w:rFonts w:cs="Arial"/>
                <w:i/>
              </w:rPr>
              <w:t>Product Defect Reporting and Recall Procedures</w:t>
            </w:r>
            <w:r w:rsidRPr="00FF35D8">
              <w:rPr>
                <w:rFonts w:cs="Arial"/>
              </w:rPr>
              <w:t xml:space="preserve"> on the HSA website for product defect reporting.</w:t>
            </w:r>
          </w:p>
          <w:p w14:paraId="709A3B41" w14:textId="17596721" w:rsidR="00171A74" w:rsidRPr="00FF35D8" w:rsidRDefault="00B640AF" w:rsidP="00186DF7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Notification is not</w:t>
            </w:r>
            <w:r w:rsidR="00171A74" w:rsidRPr="00FF35D8">
              <w:rPr>
                <w:rFonts w:ascii="Arial" w:hAnsi="Arial" w:cs="Arial"/>
              </w:rPr>
              <w:t xml:space="preserve"> required if there is a change of the supplier for the same type of primary packaging material with the same specification.</w:t>
            </w:r>
          </w:p>
          <w:p w14:paraId="38E5479B" w14:textId="73B7F6A9" w:rsidR="0074308E" w:rsidRPr="00FF35D8" w:rsidRDefault="0074308E" w:rsidP="00186DF7">
            <w:pPr>
              <w:numPr>
                <w:ilvl w:val="0"/>
                <w:numId w:val="24"/>
              </w:numPr>
              <w:spacing w:before="120" w:after="120" w:line="240" w:lineRule="auto"/>
              <w:ind w:left="487"/>
              <w:rPr>
                <w:rFonts w:cs="Arial"/>
              </w:rPr>
            </w:pPr>
            <w:r w:rsidRPr="00FF35D8">
              <w:rPr>
                <w:rFonts w:cs="Arial"/>
              </w:rPr>
              <w:t>The proposed packaging material must be at least equivalent to the approved material in respect of its relevant properties.</w:t>
            </w:r>
            <w:r w:rsidR="00C434BE" w:rsidRPr="00FF35D8">
              <w:rPr>
                <w:rFonts w:cs="Arial"/>
              </w:rPr>
              <w:t xml:space="preserve"> If a less protective packaging material is proposed, </w:t>
            </w:r>
            <w:r w:rsidR="003008FC" w:rsidRPr="00FF35D8">
              <w:rPr>
                <w:rFonts w:cs="Arial"/>
              </w:rPr>
              <w:t>refer to</w:t>
            </w:r>
            <w:r w:rsidR="00C434BE" w:rsidRPr="00FF35D8">
              <w:rPr>
                <w:rFonts w:cs="Arial"/>
              </w:rPr>
              <w:t xml:space="preserve"> MIV-1 B5.</w:t>
            </w:r>
          </w:p>
          <w:p w14:paraId="684EB858" w14:textId="77777777" w:rsidR="0074308E" w:rsidRPr="00FF35D8" w:rsidRDefault="0074308E" w:rsidP="00186DF7">
            <w:pPr>
              <w:numPr>
                <w:ilvl w:val="0"/>
                <w:numId w:val="24"/>
              </w:numPr>
              <w:spacing w:before="120" w:after="120" w:line="240" w:lineRule="auto"/>
              <w:ind w:left="487"/>
              <w:rPr>
                <w:rFonts w:cs="Arial"/>
              </w:rPr>
            </w:pPr>
            <w:r w:rsidRPr="00FF35D8">
              <w:rPr>
                <w:rFonts w:cs="Arial"/>
              </w:rPr>
              <w:t xml:space="preserve">For </w:t>
            </w:r>
            <w:r w:rsidR="005A53C9" w:rsidRPr="00FF35D8">
              <w:rPr>
                <w:rFonts w:cs="Arial"/>
              </w:rPr>
              <w:t xml:space="preserve">a </w:t>
            </w:r>
            <w:r w:rsidRPr="00FF35D8">
              <w:rPr>
                <w:rFonts w:cs="Arial"/>
              </w:rPr>
              <w:t xml:space="preserve">change in the primary packaging material for </w:t>
            </w:r>
            <w:r w:rsidR="005A53C9" w:rsidRPr="00FF35D8">
              <w:rPr>
                <w:rFonts w:cs="Arial"/>
              </w:rPr>
              <w:t xml:space="preserve">a </w:t>
            </w:r>
            <w:r w:rsidRPr="00FF35D8">
              <w:rPr>
                <w:rFonts w:cs="Arial"/>
              </w:rPr>
              <w:t>sterile drug substance or drug product, refer to MIV-1 B5.</w:t>
            </w:r>
          </w:p>
          <w:p w14:paraId="5A403E28" w14:textId="77777777" w:rsidR="00894C8B" w:rsidRPr="00FF35D8" w:rsidRDefault="00C434BE" w:rsidP="00186DF7">
            <w:pPr>
              <w:numPr>
                <w:ilvl w:val="0"/>
                <w:numId w:val="24"/>
              </w:numPr>
              <w:spacing w:before="120" w:after="120" w:line="240" w:lineRule="auto"/>
              <w:ind w:left="487"/>
              <w:rPr>
                <w:rFonts w:cs="Arial"/>
              </w:rPr>
            </w:pPr>
            <w:r w:rsidRPr="00FF35D8">
              <w:rPr>
                <w:rFonts w:cs="Arial"/>
              </w:rPr>
              <w:t xml:space="preserve">For change of specification parameters or limits, or test procedure of primary packaging material, refer to MIV-2 </w:t>
            </w:r>
            <w:r w:rsidR="000C099F" w:rsidRPr="00FF35D8">
              <w:rPr>
                <w:rFonts w:cs="Arial"/>
              </w:rPr>
              <w:t>D16</w:t>
            </w:r>
            <w:r w:rsidRPr="00FF35D8">
              <w:rPr>
                <w:rFonts w:cs="Arial"/>
              </w:rPr>
              <w:t>.</w:t>
            </w:r>
            <w:r w:rsidR="00894C8B" w:rsidRPr="00FF35D8">
              <w:rPr>
                <w:rFonts w:cs="Arial"/>
              </w:rPr>
              <w:t xml:space="preserve"> </w:t>
            </w:r>
          </w:p>
          <w:p w14:paraId="1A280D62" w14:textId="7EC4E00A" w:rsidR="00C434BE" w:rsidRPr="00FF35D8" w:rsidRDefault="00894C8B" w:rsidP="00186DF7">
            <w:pPr>
              <w:numPr>
                <w:ilvl w:val="0"/>
                <w:numId w:val="24"/>
              </w:numPr>
              <w:spacing w:before="120" w:after="120" w:line="240" w:lineRule="auto"/>
              <w:ind w:left="487"/>
              <w:rPr>
                <w:rFonts w:cs="Arial"/>
              </w:rPr>
            </w:pPr>
            <w:r w:rsidRPr="00FF35D8">
              <w:rPr>
                <w:rFonts w:cs="Arial"/>
              </w:rPr>
              <w:t>Release and shelf life specifications of the drug substance or drug product remain unchanged.</w:t>
            </w:r>
          </w:p>
        </w:tc>
      </w:tr>
      <w:tr w:rsidR="0074308E" w:rsidRPr="00FF35D8" w14:paraId="371539CC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56ED4CD4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68A93BE7" w14:textId="4417CD5F" w:rsidR="0074308E" w:rsidRPr="00FF35D8" w:rsidRDefault="0074308E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Revised drafts of the package insert</w:t>
            </w:r>
            <w:r w:rsidR="00171A74" w:rsidRPr="00FF35D8">
              <w:rPr>
                <w:rFonts w:ascii="Arial" w:hAnsi="Arial" w:cs="Arial"/>
              </w:rPr>
              <w:t xml:space="preserve"> and labelling</w:t>
            </w:r>
            <w:r w:rsidRPr="00FF35D8">
              <w:rPr>
                <w:rFonts w:ascii="Arial" w:hAnsi="Arial" w:cs="Arial"/>
              </w:rPr>
              <w:t xml:space="preserve"> incorporating the proposed variation (where applicable).</w:t>
            </w:r>
          </w:p>
          <w:p w14:paraId="3F6BF36C" w14:textId="1623C308" w:rsidR="0074308E" w:rsidRPr="00FF35D8" w:rsidRDefault="0074308E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Justification for the change in packaging material and appropriate scientific studies on the new packaging.</w:t>
            </w:r>
          </w:p>
          <w:p w14:paraId="0BCAF76F" w14:textId="3C028361" w:rsidR="00171A74" w:rsidRPr="00FF35D8" w:rsidRDefault="00171A74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Comparative tabulated format of the approved and proposed specifications of the primary packaging material (where applicable).</w:t>
            </w:r>
          </w:p>
          <w:p w14:paraId="2BD5087F" w14:textId="77777777" w:rsidR="00171A74" w:rsidRPr="00FF35D8" w:rsidRDefault="00171A74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Revised CTD Sections P3 and/or P7 (where applicable).</w:t>
            </w:r>
          </w:p>
          <w:p w14:paraId="26B3C7A8" w14:textId="77777777" w:rsidR="00171A74" w:rsidRPr="00FF35D8" w:rsidRDefault="00171A74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Declaration of compliance to the appropriate international standards or pharmacopoeia.</w:t>
            </w:r>
          </w:p>
          <w:p w14:paraId="0C23DCB8" w14:textId="2EB5CE3D" w:rsidR="0074308E" w:rsidRPr="00FF35D8" w:rsidRDefault="0074308E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For semi-solid and liquid dosage forms, </w:t>
            </w:r>
            <w:r w:rsidR="00171A74" w:rsidRPr="00FF35D8">
              <w:rPr>
                <w:rFonts w:ascii="Arial" w:hAnsi="Arial" w:cs="Arial"/>
              </w:rPr>
              <w:t>relevant studies to demonstrate</w:t>
            </w:r>
            <w:r w:rsidRPr="00FF35D8">
              <w:rPr>
                <w:rFonts w:ascii="Arial" w:hAnsi="Arial" w:cs="Arial"/>
              </w:rPr>
              <w:t xml:space="preserve"> that no interaction between the content an</w:t>
            </w:r>
            <w:r w:rsidR="00171A74" w:rsidRPr="00FF35D8">
              <w:rPr>
                <w:rFonts w:ascii="Arial" w:hAnsi="Arial" w:cs="Arial"/>
              </w:rPr>
              <w:t>d the packaging material occurs</w:t>
            </w:r>
            <w:r w:rsidR="00753A2F" w:rsidRPr="00FF35D8">
              <w:rPr>
                <w:rFonts w:ascii="Arial" w:hAnsi="Arial" w:cs="Arial"/>
              </w:rPr>
              <w:t xml:space="preserve"> (where applicable)</w:t>
            </w:r>
            <w:r w:rsidR="00323936" w:rsidRPr="00FF35D8">
              <w:rPr>
                <w:rFonts w:ascii="Arial" w:hAnsi="Arial" w:cs="Arial"/>
              </w:rPr>
              <w:t>.</w:t>
            </w:r>
          </w:p>
          <w:p w14:paraId="0FB5CC82" w14:textId="1C4E4CEE" w:rsidR="003008FC" w:rsidRPr="00FF35D8" w:rsidRDefault="003008FC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lastRenderedPageBreak/>
              <w:t>Stability data as per the relevant guidelines on the stability study of the drug substance or drug product.</w:t>
            </w:r>
          </w:p>
          <w:p w14:paraId="1AB1EE72" w14:textId="26BD2217" w:rsidR="0074308E" w:rsidRPr="00FF35D8" w:rsidRDefault="00753A2F" w:rsidP="00FF35D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spacing w:before="120" w:after="120" w:line="240" w:lineRule="auto"/>
              <w:ind w:left="48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  <w:lang w:val="en-GB"/>
              </w:rPr>
              <w:t>A commitment letter to complete the on-going</w:t>
            </w:r>
            <w:r w:rsidRPr="00FF35D8">
              <w:rPr>
                <w:rFonts w:ascii="Arial" w:hAnsi="Arial" w:cs="Arial"/>
              </w:rPr>
              <w:t xml:space="preserve"> stability studies to support the approved shelf life. </w:t>
            </w:r>
            <w:r w:rsidRPr="00FF35D8">
              <w:rPr>
                <w:rFonts w:ascii="Arial" w:hAnsi="Arial" w:cs="Arial"/>
                <w:lang w:val="en-US"/>
              </w:rPr>
              <w:t xml:space="preserve">The product registrant shall report to the Health Sciences Authority of any out-of-specification result (with proposed action). </w:t>
            </w:r>
            <w:r w:rsidRPr="00FF35D8">
              <w:rPr>
                <w:rFonts w:ascii="Arial" w:hAnsi="Arial" w:cs="Arial"/>
                <w:iCs/>
              </w:rPr>
              <w:t xml:space="preserve">Submission of the data in the form of a finalised report is not required but the data shall be provided to the Health Sciences Authority upon request. </w:t>
            </w:r>
            <w:r w:rsidRPr="00FF35D8">
              <w:rPr>
                <w:rFonts w:ascii="Arial" w:hAnsi="Arial" w:cs="Arial"/>
              </w:rPr>
              <w:t xml:space="preserve">  </w:t>
            </w:r>
          </w:p>
        </w:tc>
      </w:tr>
    </w:tbl>
    <w:p w14:paraId="44570B4B" w14:textId="77777777" w:rsidR="00776599" w:rsidRPr="00FF35D8" w:rsidRDefault="00776599" w:rsidP="00FF35D8">
      <w:pPr>
        <w:tabs>
          <w:tab w:val="left" w:pos="255"/>
          <w:tab w:val="left" w:pos="465"/>
        </w:tabs>
        <w:spacing w:before="120" w:after="120" w:line="240" w:lineRule="auto"/>
        <w:rPr>
          <w:rFonts w:cs="Arial"/>
        </w:rPr>
      </w:pPr>
      <w:r w:rsidRPr="00FF35D8">
        <w:rPr>
          <w:rFonts w:cs="Arial"/>
        </w:rPr>
        <w:lastRenderedPageBreak/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10C12DC0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28604844" w14:textId="61232623" w:rsidR="0074308E" w:rsidRPr="00FF35D8" w:rsidRDefault="00776599" w:rsidP="00186DF7">
            <w:pPr>
              <w:pStyle w:val="Heading2"/>
              <w:numPr>
                <w:ilvl w:val="0"/>
                <w:numId w:val="0"/>
              </w:numPr>
              <w:spacing w:line="240" w:lineRule="auto"/>
              <w:ind w:left="33" w:hanging="33"/>
              <w:rPr>
                <w:rFonts w:cs="Arial"/>
                <w:sz w:val="22"/>
              </w:rPr>
            </w:pPr>
            <w:r w:rsidRPr="00FF35D8">
              <w:rPr>
                <w:rFonts w:cs="Arial"/>
                <w:sz w:val="22"/>
              </w:rPr>
              <w:tab/>
            </w:r>
            <w:bookmarkStart w:id="89" w:name="_Toc361039819"/>
            <w:bookmarkStart w:id="90" w:name="_Toc361039989"/>
            <w:bookmarkStart w:id="91" w:name="_Toc361040032"/>
            <w:bookmarkStart w:id="92" w:name="_Toc376178626"/>
            <w:bookmarkStart w:id="93" w:name="_Toc534897218"/>
            <w:bookmarkStart w:id="94" w:name="_Toc99038412"/>
            <w:bookmarkStart w:id="95" w:name="MiV_PA29" w:colFirst="1" w:colLast="1"/>
            <w:bookmarkStart w:id="96" w:name="MiV_PA30" w:colFirst="1" w:colLast="1"/>
            <w:bookmarkEnd w:id="82"/>
            <w:r w:rsidR="0074308E" w:rsidRPr="00FF35D8">
              <w:rPr>
                <w:rFonts w:cs="Arial"/>
                <w:sz w:val="22"/>
              </w:rPr>
              <w:t xml:space="preserve">C10 </w:t>
            </w:r>
            <w:r w:rsidR="003E74B8" w:rsidRPr="00FF35D8">
              <w:rPr>
                <w:rFonts w:cs="Arial"/>
                <w:sz w:val="22"/>
              </w:rPr>
              <w:t xml:space="preserve">  </w:t>
            </w:r>
            <w:r w:rsidR="0074308E" w:rsidRPr="00FF35D8">
              <w:rPr>
                <w:rFonts w:cs="Arial"/>
                <w:sz w:val="22"/>
              </w:rPr>
              <w:t xml:space="preserve">Addition or </w:t>
            </w:r>
            <w:r w:rsidR="005A53C9" w:rsidRPr="00FF35D8">
              <w:rPr>
                <w:rFonts w:cs="Arial"/>
                <w:sz w:val="22"/>
              </w:rPr>
              <w:t>R</w:t>
            </w:r>
            <w:r w:rsidR="0074308E" w:rsidRPr="00FF35D8">
              <w:rPr>
                <w:rFonts w:cs="Arial"/>
                <w:sz w:val="22"/>
              </w:rPr>
              <w:t xml:space="preserve">eplacement of </w:t>
            </w:r>
            <w:r w:rsidR="005A53C9" w:rsidRPr="00FF35D8">
              <w:rPr>
                <w:rFonts w:cs="Arial"/>
                <w:sz w:val="22"/>
              </w:rPr>
              <w:t>M</w:t>
            </w:r>
            <w:r w:rsidR="0074308E" w:rsidRPr="00FF35D8">
              <w:rPr>
                <w:rFonts w:cs="Arial"/>
                <w:sz w:val="22"/>
              </w:rPr>
              <w:t xml:space="preserve">anufacturer for </w:t>
            </w:r>
            <w:r w:rsidR="005A53C9" w:rsidRPr="00FF35D8">
              <w:rPr>
                <w:rFonts w:cs="Arial"/>
                <w:sz w:val="22"/>
              </w:rPr>
              <w:t>S</w:t>
            </w:r>
            <w:r w:rsidR="0074308E" w:rsidRPr="00FF35D8">
              <w:rPr>
                <w:rFonts w:cs="Arial"/>
                <w:sz w:val="22"/>
              </w:rPr>
              <w:t xml:space="preserve">econdary </w:t>
            </w:r>
            <w:r w:rsidR="005A53C9" w:rsidRPr="00FF35D8">
              <w:rPr>
                <w:rFonts w:cs="Arial"/>
                <w:sz w:val="22"/>
              </w:rPr>
              <w:t>P</w:t>
            </w:r>
            <w:r w:rsidR="0074308E" w:rsidRPr="00FF35D8">
              <w:rPr>
                <w:rFonts w:cs="Arial"/>
                <w:sz w:val="22"/>
              </w:rPr>
              <w:t>ackaging</w:t>
            </w:r>
            <w:bookmarkEnd w:id="89"/>
            <w:bookmarkEnd w:id="90"/>
            <w:bookmarkEnd w:id="91"/>
            <w:bookmarkEnd w:id="92"/>
            <w:bookmarkEnd w:id="93"/>
            <w:bookmarkEnd w:id="94"/>
          </w:p>
        </w:tc>
      </w:tr>
      <w:bookmarkEnd w:id="95"/>
      <w:tr w:rsidR="0074308E" w:rsidRPr="00FF35D8" w14:paraId="72ECC356" w14:textId="77777777" w:rsidTr="004F3F2A">
        <w:tc>
          <w:tcPr>
            <w:tcW w:w="279" w:type="dxa"/>
          </w:tcPr>
          <w:p w14:paraId="5E04D871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7AF06201" w14:textId="2499AC0E" w:rsidR="0074308E" w:rsidRPr="00FF35D8" w:rsidRDefault="0074308E" w:rsidP="00FF35D8">
            <w:pPr>
              <w:pStyle w:val="ListParagraph"/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None</w:t>
            </w:r>
            <w:r w:rsidR="00323936" w:rsidRPr="00FF35D8">
              <w:rPr>
                <w:rFonts w:ascii="Arial" w:hAnsi="Arial" w:cs="Arial"/>
              </w:rPr>
              <w:t>.</w:t>
            </w:r>
          </w:p>
        </w:tc>
      </w:tr>
      <w:tr w:rsidR="0074308E" w:rsidRPr="00FF35D8" w14:paraId="4FA1DB72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000EA791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89644A8" w14:textId="77777777" w:rsidR="00753A2F" w:rsidRPr="00FF35D8" w:rsidRDefault="0074308E" w:rsidP="00FF35D8">
            <w:pPr>
              <w:numPr>
                <w:ilvl w:val="0"/>
                <w:numId w:val="3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Revised drafts of the package insert and labelling incorporating the proposed variation (where applicable).</w:t>
            </w:r>
          </w:p>
          <w:p w14:paraId="288E6F93" w14:textId="6246FE4A" w:rsidR="00753A2F" w:rsidRPr="00FF35D8" w:rsidRDefault="0074308E" w:rsidP="00FF35D8">
            <w:pPr>
              <w:numPr>
                <w:ilvl w:val="0"/>
                <w:numId w:val="3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Proof that the proposed site is appropriately authorised (accredited by the authority) for the packaging activity concerned</w:t>
            </w:r>
            <w:r w:rsidR="005A53C9" w:rsidRPr="00FF35D8">
              <w:rPr>
                <w:rFonts w:cs="Arial"/>
              </w:rPr>
              <w:t>,</w:t>
            </w:r>
            <w:r w:rsidRPr="00FF35D8">
              <w:rPr>
                <w:rFonts w:cs="Arial"/>
              </w:rPr>
              <w:t xml:space="preserve"> such as a valid GMP certificate and/or CPP which covers the GMP certification</w:t>
            </w:r>
            <w:r w:rsidR="00753A2F" w:rsidRPr="00FF35D8">
              <w:rPr>
                <w:rFonts w:cs="Arial"/>
              </w:rPr>
              <w:t xml:space="preserve"> (Note: GMP Conformity Assessment is required if the proposed site is not currently registered with HSA).</w:t>
            </w:r>
          </w:p>
          <w:p w14:paraId="1200510A" w14:textId="77777777" w:rsidR="0074308E" w:rsidRPr="00FF35D8" w:rsidRDefault="0074308E" w:rsidP="00FF35D8">
            <w:pPr>
              <w:numPr>
                <w:ilvl w:val="0"/>
                <w:numId w:val="3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 xml:space="preserve">Official letter from </w:t>
            </w:r>
            <w:r w:rsidR="005A53C9" w:rsidRPr="00FF35D8">
              <w:rPr>
                <w:rFonts w:cs="Arial"/>
              </w:rPr>
              <w:t xml:space="preserve">the </w:t>
            </w:r>
            <w:r w:rsidRPr="00FF35D8">
              <w:rPr>
                <w:rFonts w:cs="Arial"/>
              </w:rPr>
              <w:t>product owner authori</w:t>
            </w:r>
            <w:r w:rsidR="005A53C9" w:rsidRPr="00FF35D8">
              <w:rPr>
                <w:rFonts w:cs="Arial"/>
              </w:rPr>
              <w:t>s</w:t>
            </w:r>
            <w:r w:rsidRPr="00FF35D8">
              <w:rPr>
                <w:rFonts w:cs="Arial"/>
              </w:rPr>
              <w:t>ing the new manufacture</w:t>
            </w:r>
            <w:r w:rsidR="005A53C9" w:rsidRPr="00FF35D8">
              <w:rPr>
                <w:rFonts w:cs="Arial"/>
              </w:rPr>
              <w:t>r</w:t>
            </w:r>
            <w:r w:rsidRPr="00FF35D8">
              <w:rPr>
                <w:rFonts w:cs="Arial"/>
              </w:rPr>
              <w:t xml:space="preserve"> or packager to perform secondary packaging (where applicable).</w:t>
            </w:r>
          </w:p>
          <w:p w14:paraId="0B3D7443" w14:textId="3131AFB2" w:rsidR="00784F04" w:rsidRPr="00FF35D8" w:rsidRDefault="00784F04" w:rsidP="00FF35D8">
            <w:pPr>
              <w:numPr>
                <w:ilvl w:val="0"/>
                <w:numId w:val="3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For local secondary packager, an official letter from the product registrant authorising the local secondary packager to perform secondary packaging (where applicable).</w:t>
            </w:r>
          </w:p>
        </w:tc>
      </w:tr>
    </w:tbl>
    <w:p w14:paraId="59B3FA49" w14:textId="4E42C7F4" w:rsidR="00776599" w:rsidRPr="00FF35D8" w:rsidRDefault="00776599" w:rsidP="00FF35D8">
      <w:pPr>
        <w:spacing w:before="120" w:after="120" w:line="240" w:lineRule="auto"/>
        <w:rPr>
          <w:rFonts w:cs="Arial"/>
        </w:rPr>
      </w:pPr>
      <w:bookmarkStart w:id="97" w:name="MiV_N2" w:colFirst="1" w:colLast="1"/>
      <w:bookmarkEnd w:id="96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F0129D" w:rsidRPr="00FF35D8" w14:paraId="25A83B81" w14:textId="77777777" w:rsidTr="007B6928">
        <w:tc>
          <w:tcPr>
            <w:tcW w:w="918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0DCC" w14:textId="3AB9F0D1" w:rsidR="00F0129D" w:rsidRPr="00FF35D8" w:rsidRDefault="00F0129D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8" w:hanging="578"/>
              <w:rPr>
                <w:rFonts w:cs="Arial"/>
                <w:color w:val="FF0000"/>
                <w:sz w:val="22"/>
              </w:rPr>
            </w:pPr>
            <w:bookmarkStart w:id="98" w:name="MiV_PA33" w:colFirst="1" w:colLast="1"/>
            <w:r w:rsidRPr="00FF35D8">
              <w:rPr>
                <w:rFonts w:cs="Arial"/>
                <w:sz w:val="22"/>
              </w:rPr>
              <w:br w:type="page"/>
            </w:r>
            <w:bookmarkStart w:id="99" w:name="_Toc361039822"/>
            <w:bookmarkStart w:id="100" w:name="_Toc361039992"/>
            <w:bookmarkStart w:id="101" w:name="_Toc361040035"/>
            <w:bookmarkStart w:id="102" w:name="_Toc376178629"/>
            <w:bookmarkStart w:id="103" w:name="_Toc534897220"/>
            <w:bookmarkStart w:id="104" w:name="_Toc99038413"/>
            <w:r w:rsidRPr="00FF35D8">
              <w:rPr>
                <w:rFonts w:cs="Arial"/>
                <w:sz w:val="22"/>
              </w:rPr>
              <w:t>C11   Replacement or Change of Working Cell/Seed Bank</w:t>
            </w:r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</w:tr>
      <w:tr w:rsidR="00F0129D" w:rsidRPr="00FF35D8" w14:paraId="28571961" w14:textId="77777777" w:rsidTr="004F3F2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906" w14:textId="77777777" w:rsidR="00F0129D" w:rsidRPr="00FF35D8" w:rsidRDefault="00F0129D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7C3" w14:textId="4F095570" w:rsidR="00BD558C" w:rsidRPr="00FF35D8" w:rsidRDefault="00F0129D" w:rsidP="00FF35D8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Establishing a new working cell/seed bank derived from a previously approved master cell/seed bank according to approved protocols.</w:t>
            </w:r>
          </w:p>
        </w:tc>
      </w:tr>
      <w:tr w:rsidR="00F0129D" w:rsidRPr="00FF35D8" w14:paraId="6B2B58B5" w14:textId="77777777" w:rsidTr="004F3F2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828" w14:textId="77777777" w:rsidR="00F0129D" w:rsidRPr="00FF35D8" w:rsidRDefault="00F0129D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FD0" w14:textId="77777777" w:rsidR="00F0129D" w:rsidRPr="00FF35D8" w:rsidRDefault="00F0129D" w:rsidP="00FF35D8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Comparative summary characterisation and testing of the approved and proposed working cell/seed banks.</w:t>
            </w:r>
          </w:p>
          <w:p w14:paraId="085B7AC5" w14:textId="77777777" w:rsidR="00F0129D" w:rsidRPr="00FF35D8" w:rsidRDefault="00F0129D" w:rsidP="00FF35D8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Certificate of analysis or batch analysis data (in a comparative tabulated format) of at least three batches of drug substance derived from the approved and proposed cell/seed banks.</w:t>
            </w:r>
          </w:p>
          <w:p w14:paraId="388180A1" w14:textId="77777777" w:rsidR="00F0129D" w:rsidRPr="00FF35D8" w:rsidRDefault="00F0129D" w:rsidP="00FF35D8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 declaration that the release and shelf life specifications of the drug product have not been changed.</w:t>
            </w:r>
          </w:p>
          <w:p w14:paraId="5B3068A5" w14:textId="4023E004" w:rsidR="00F0129D" w:rsidRPr="00FF35D8" w:rsidRDefault="00F0129D" w:rsidP="00FF35D8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A </w:t>
            </w:r>
            <w:r w:rsidRPr="00FF35D8">
              <w:rPr>
                <w:rFonts w:ascii="Arial" w:hAnsi="Arial" w:cs="Arial"/>
                <w:lang w:val="en-GB"/>
              </w:rPr>
              <w:t>commitment letter to complete the on-going</w:t>
            </w:r>
            <w:r w:rsidRPr="00FF35D8">
              <w:rPr>
                <w:rFonts w:ascii="Arial" w:hAnsi="Arial" w:cs="Arial"/>
              </w:rPr>
              <w:t xml:space="preserve"> stability studies to support the approved shelf life. </w:t>
            </w:r>
            <w:r w:rsidRPr="00FF35D8">
              <w:rPr>
                <w:rFonts w:ascii="Arial" w:hAnsi="Arial" w:cs="Arial"/>
                <w:lang w:val="en-US"/>
              </w:rPr>
              <w:t xml:space="preserve">The product registrant shall report to the Health Sciences Authority of any out-of-specification result (with proposed action). </w:t>
            </w:r>
            <w:r w:rsidRPr="00FF35D8">
              <w:rPr>
                <w:rFonts w:ascii="Arial" w:hAnsi="Arial" w:cs="Arial"/>
                <w:iCs/>
              </w:rPr>
              <w:t xml:space="preserve">Submission of the data in the form of a finalised report is not required but the data shall be provided to the Health Sciences Authority upon request. </w:t>
            </w:r>
            <w:r w:rsidRPr="00FF35D8">
              <w:rPr>
                <w:rFonts w:ascii="Arial" w:hAnsi="Arial" w:cs="Arial"/>
              </w:rPr>
              <w:t xml:space="preserve">  </w:t>
            </w:r>
          </w:p>
        </w:tc>
      </w:tr>
      <w:bookmarkEnd w:id="98"/>
    </w:tbl>
    <w:p w14:paraId="15B96A80" w14:textId="77777777" w:rsidR="00F0129D" w:rsidRPr="00FF35D8" w:rsidRDefault="00F0129D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503A3478" w14:textId="77777777" w:rsidTr="00CA42D7">
        <w:trPr>
          <w:trHeight w:val="533"/>
        </w:trPr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6895A725" w14:textId="0A58431E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eastAsia="SimSun" w:cs="Arial"/>
                <w:sz w:val="22"/>
              </w:rPr>
            </w:pPr>
            <w:bookmarkStart w:id="105" w:name="_Toc376178630"/>
            <w:bookmarkStart w:id="106" w:name="_Toc534897221"/>
            <w:bookmarkStart w:id="107" w:name="_Toc99038414"/>
            <w:bookmarkStart w:id="108" w:name="_Toc360720116"/>
            <w:bookmarkStart w:id="109" w:name="_Toc363563479"/>
            <w:bookmarkStart w:id="110" w:name="MiV_PA27" w:colFirst="1" w:colLast="1"/>
            <w:bookmarkStart w:id="111" w:name="_Hlk96410228"/>
            <w:r w:rsidRPr="00FF35D8">
              <w:rPr>
                <w:rFonts w:cs="Arial"/>
                <w:sz w:val="22"/>
              </w:rPr>
              <w:lastRenderedPageBreak/>
              <w:t>C1</w:t>
            </w:r>
            <w:r w:rsidR="000B71DE" w:rsidRPr="00FF35D8">
              <w:rPr>
                <w:rFonts w:cs="Arial"/>
                <w:sz w:val="22"/>
              </w:rPr>
              <w:t>2</w:t>
            </w:r>
            <w:r w:rsidRPr="00FF35D8">
              <w:rPr>
                <w:rFonts w:eastAsia="SimSun" w:cs="Arial"/>
                <w:sz w:val="22"/>
              </w:rPr>
              <w:tab/>
            </w:r>
            <w:r w:rsidR="003E74B8" w:rsidRPr="00FF35D8">
              <w:rPr>
                <w:rFonts w:eastAsia="SimSun" w:cs="Arial"/>
                <w:sz w:val="22"/>
              </w:rPr>
              <w:t xml:space="preserve"> </w:t>
            </w:r>
            <w:r w:rsidRPr="00FF35D8">
              <w:rPr>
                <w:rFonts w:eastAsia="SimSun" w:cs="Arial"/>
                <w:sz w:val="22"/>
              </w:rPr>
              <w:t>Minor Change of Test Procedure</w:t>
            </w:r>
            <w:bookmarkEnd w:id="105"/>
            <w:bookmarkEnd w:id="106"/>
            <w:bookmarkEnd w:id="107"/>
            <w:r w:rsidRPr="00FF35D8">
              <w:rPr>
                <w:rFonts w:eastAsia="SimSun" w:cs="Arial"/>
                <w:sz w:val="22"/>
              </w:rPr>
              <w:t xml:space="preserve"> </w:t>
            </w:r>
            <w:bookmarkEnd w:id="108"/>
            <w:bookmarkEnd w:id="109"/>
          </w:p>
        </w:tc>
      </w:tr>
      <w:bookmarkEnd w:id="110"/>
      <w:tr w:rsidR="0074308E" w:rsidRPr="00FF35D8" w14:paraId="244CFD2C" w14:textId="77777777" w:rsidTr="004F3F2A">
        <w:tc>
          <w:tcPr>
            <w:tcW w:w="279" w:type="dxa"/>
          </w:tcPr>
          <w:p w14:paraId="63FBCD5D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4E024698" w14:textId="348732CE" w:rsidR="0074308E" w:rsidRPr="00FF35D8" w:rsidRDefault="0074308E" w:rsidP="00FF35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Applicable to </w:t>
            </w:r>
            <w:r w:rsidR="008912D7" w:rsidRPr="00FF35D8">
              <w:rPr>
                <w:rFonts w:ascii="Arial" w:hAnsi="Arial" w:cs="Arial"/>
              </w:rPr>
              <w:t>change of</w:t>
            </w:r>
            <w:r w:rsidRPr="00FF35D8">
              <w:rPr>
                <w:rFonts w:ascii="Arial" w:hAnsi="Arial" w:cs="Arial"/>
              </w:rPr>
              <w:t xml:space="preserve"> test procedure to comply with the updated general monograph in official pharmacopoeia, such as Ph</w:t>
            </w:r>
            <w:r w:rsidR="00CA42D7" w:rsidRPr="00FF35D8">
              <w:rPr>
                <w:rFonts w:ascii="Arial" w:hAnsi="Arial" w:cs="Arial"/>
              </w:rPr>
              <w:t>.</w:t>
            </w:r>
            <w:r w:rsidRPr="00FF35D8">
              <w:rPr>
                <w:rFonts w:ascii="Arial" w:hAnsi="Arial" w:cs="Arial"/>
              </w:rPr>
              <w:t xml:space="preserve"> Eur</w:t>
            </w:r>
            <w:r w:rsidR="00CA42D7" w:rsidRPr="00FF35D8">
              <w:rPr>
                <w:rFonts w:ascii="Arial" w:hAnsi="Arial" w:cs="Arial"/>
              </w:rPr>
              <w:t>.</w:t>
            </w:r>
            <w:r w:rsidRPr="00FF35D8">
              <w:rPr>
                <w:rFonts w:ascii="Arial" w:hAnsi="Arial" w:cs="Arial"/>
              </w:rPr>
              <w:t>, USP, BP and JP. This includes standard compendial microbiological methods.</w:t>
            </w:r>
          </w:p>
          <w:p w14:paraId="485B1EF1" w14:textId="594D5229" w:rsidR="00CA42D7" w:rsidRPr="00FF35D8" w:rsidRDefault="008912D7" w:rsidP="00FF35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For </w:t>
            </w:r>
            <w:r w:rsidR="0074308E" w:rsidRPr="00FF35D8">
              <w:rPr>
                <w:rFonts w:ascii="Arial" w:hAnsi="Arial" w:cs="Arial"/>
              </w:rPr>
              <w:t xml:space="preserve">change of test procedure of </w:t>
            </w:r>
            <w:r w:rsidR="00CA42D7" w:rsidRPr="00FF35D8">
              <w:rPr>
                <w:rFonts w:ascii="Arial" w:hAnsi="Arial" w:cs="Arial"/>
              </w:rPr>
              <w:t xml:space="preserve">the </w:t>
            </w:r>
            <w:r w:rsidR="0074308E" w:rsidRPr="00FF35D8">
              <w:rPr>
                <w:rFonts w:ascii="Arial" w:hAnsi="Arial" w:cs="Arial"/>
              </w:rPr>
              <w:t>drug substance, drug product, excipient, and/or in-process</w:t>
            </w:r>
            <w:r w:rsidR="00811C90" w:rsidRPr="00FF35D8">
              <w:rPr>
                <w:rFonts w:ascii="Arial" w:hAnsi="Arial" w:cs="Arial"/>
              </w:rPr>
              <w:t xml:space="preserve"> control </w:t>
            </w:r>
            <w:r w:rsidR="0074308E" w:rsidRPr="00FF35D8">
              <w:rPr>
                <w:rFonts w:ascii="Arial" w:hAnsi="Arial" w:cs="Arial"/>
              </w:rPr>
              <w:t>where the</w:t>
            </w:r>
            <w:r w:rsidR="0074308E" w:rsidRPr="00FF35D8">
              <w:rPr>
                <w:rFonts w:ascii="Arial" w:eastAsiaTheme="minorEastAsia" w:hAnsi="Arial" w:cs="Arial"/>
                <w:lang w:val="en-GB" w:eastAsia="zh-CN"/>
              </w:rPr>
              <w:t xml:space="preserve"> test method is a biological/ immunological/ immunochemical method, or a method using a biological reagent</w:t>
            </w:r>
            <w:r w:rsidRPr="00FF35D8">
              <w:rPr>
                <w:rFonts w:ascii="Arial" w:eastAsiaTheme="minorEastAsia" w:hAnsi="Arial" w:cs="Arial"/>
                <w:lang w:val="en-GB" w:eastAsia="zh-CN"/>
              </w:rPr>
              <w:t>, refer to MIV-1 B12.</w:t>
            </w:r>
          </w:p>
          <w:p w14:paraId="3C47A9E1" w14:textId="114D87DA" w:rsidR="005C3879" w:rsidRPr="000372FD" w:rsidRDefault="00657E74" w:rsidP="000372F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The specification of the drug substance, drug product, excipient and/or in-process test remain unchanged. If there are changes made to the specification, submit </w:t>
            </w:r>
            <w:r w:rsidR="000C2747" w:rsidRPr="00FF35D8">
              <w:rPr>
                <w:rFonts w:ascii="Arial" w:hAnsi="Arial" w:cs="Arial"/>
              </w:rPr>
              <w:br/>
            </w:r>
            <w:r w:rsidRPr="00FF35D8">
              <w:rPr>
                <w:rFonts w:ascii="Arial" w:hAnsi="Arial" w:cs="Arial"/>
              </w:rPr>
              <w:t>MIV-1 B3</w:t>
            </w:r>
            <w:r w:rsidR="009C7025" w:rsidRPr="00FF35D8">
              <w:rPr>
                <w:rFonts w:ascii="Arial" w:hAnsi="Arial" w:cs="Arial"/>
              </w:rPr>
              <w:t>,</w:t>
            </w:r>
            <w:r w:rsidRPr="00FF35D8">
              <w:rPr>
                <w:rFonts w:ascii="Arial" w:hAnsi="Arial" w:cs="Arial"/>
              </w:rPr>
              <w:t xml:space="preserve"> </w:t>
            </w:r>
            <w:r w:rsidR="003E74B8" w:rsidRPr="00FF35D8">
              <w:rPr>
                <w:rFonts w:ascii="Arial" w:hAnsi="Arial" w:cs="Arial"/>
              </w:rPr>
              <w:t xml:space="preserve">MIV-2 </w:t>
            </w:r>
            <w:r w:rsidRPr="00FF35D8">
              <w:rPr>
                <w:rFonts w:ascii="Arial" w:hAnsi="Arial" w:cs="Arial"/>
              </w:rPr>
              <w:t>C5</w:t>
            </w:r>
            <w:r w:rsidR="009C7025" w:rsidRPr="00FF35D8">
              <w:rPr>
                <w:rFonts w:ascii="Arial" w:hAnsi="Arial" w:cs="Arial"/>
              </w:rPr>
              <w:t xml:space="preserve"> or </w:t>
            </w:r>
            <w:r w:rsidR="000C099F" w:rsidRPr="00FF35D8">
              <w:rPr>
                <w:rFonts w:ascii="Arial" w:hAnsi="Arial" w:cs="Arial"/>
              </w:rPr>
              <w:t>D14</w:t>
            </w:r>
            <w:r w:rsidRPr="00FF35D8">
              <w:rPr>
                <w:rFonts w:ascii="Arial" w:hAnsi="Arial" w:cs="Arial"/>
              </w:rPr>
              <w:t xml:space="preserve"> at the same time.</w:t>
            </w:r>
          </w:p>
        </w:tc>
      </w:tr>
      <w:tr w:rsidR="0074308E" w:rsidRPr="00FF35D8" w14:paraId="4E04CE8A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3899520F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6CEDD174" w14:textId="77777777" w:rsidR="0074308E" w:rsidRPr="00FF35D8" w:rsidRDefault="0074308E" w:rsidP="00FF35D8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Justification for the proposed change.</w:t>
            </w:r>
          </w:p>
          <w:p w14:paraId="7E2931FE" w14:textId="77777777" w:rsidR="0074308E" w:rsidRPr="00FF35D8" w:rsidRDefault="0074308E" w:rsidP="00FF35D8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Description of the proposed analytical methodology.</w:t>
            </w:r>
          </w:p>
          <w:p w14:paraId="0D6FEBDE" w14:textId="5BBA5569" w:rsidR="0074308E" w:rsidRPr="00FF35D8" w:rsidRDefault="0074308E" w:rsidP="00FF35D8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Appropriate verification/validation data</w:t>
            </w:r>
            <w:r w:rsidR="00BD68D2" w:rsidRPr="00FF35D8">
              <w:rPr>
                <w:rFonts w:ascii="Arial" w:hAnsi="Arial" w:cs="Arial"/>
              </w:rPr>
              <w:t>.</w:t>
            </w:r>
          </w:p>
          <w:p w14:paraId="19B84A3D" w14:textId="0259C7BE" w:rsidR="0074308E" w:rsidRPr="00FF35D8" w:rsidRDefault="0074308E" w:rsidP="00FF35D8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18" w:hanging="28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Compar</w:t>
            </w:r>
            <w:r w:rsidR="00D81CE2" w:rsidRPr="00FF35D8">
              <w:rPr>
                <w:rFonts w:ascii="Arial" w:hAnsi="Arial" w:cs="Arial"/>
              </w:rPr>
              <w:t>ative test results between the approved</w:t>
            </w:r>
            <w:r w:rsidRPr="00FF35D8">
              <w:rPr>
                <w:rFonts w:ascii="Arial" w:hAnsi="Arial" w:cs="Arial"/>
              </w:rPr>
              <w:t xml:space="preserve"> and proposed test procedure</w:t>
            </w:r>
            <w:r w:rsidR="00B53EC0" w:rsidRPr="00FF35D8">
              <w:rPr>
                <w:rFonts w:ascii="Arial" w:hAnsi="Arial" w:cs="Arial"/>
              </w:rPr>
              <w:t xml:space="preserve">, or certificate of analysis or comparative batch analysis </w:t>
            </w:r>
            <w:r w:rsidRPr="00FF35D8">
              <w:rPr>
                <w:rFonts w:ascii="Arial" w:hAnsi="Arial" w:cs="Arial"/>
              </w:rPr>
              <w:t>of two production batches</w:t>
            </w:r>
            <w:r w:rsidR="00F666C9" w:rsidRPr="00FF35D8">
              <w:rPr>
                <w:rFonts w:ascii="Arial" w:hAnsi="Arial" w:cs="Arial"/>
              </w:rPr>
              <w:t xml:space="preserve"> of</w:t>
            </w:r>
            <w:r w:rsidRPr="00FF35D8">
              <w:rPr>
                <w:rFonts w:ascii="Arial" w:hAnsi="Arial" w:cs="Arial"/>
              </w:rPr>
              <w:t xml:space="preserve"> the drug substance, drug product, excipient, or in-process control.</w:t>
            </w:r>
          </w:p>
        </w:tc>
      </w:tr>
      <w:bookmarkEnd w:id="111"/>
    </w:tbl>
    <w:p w14:paraId="72F20C59" w14:textId="77777777" w:rsidR="00776599" w:rsidRPr="00FF35D8" w:rsidRDefault="00776599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400B29CC" w14:textId="77777777" w:rsidTr="00FF2000">
        <w:tc>
          <w:tcPr>
            <w:tcW w:w="918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C5B" w14:textId="43B237BD" w:rsidR="0074308E" w:rsidRPr="00FF35D8" w:rsidRDefault="003E74B8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742" w:hanging="742"/>
              <w:rPr>
                <w:rFonts w:cs="Arial"/>
                <w:sz w:val="22"/>
              </w:rPr>
            </w:pPr>
            <w:bookmarkStart w:id="112" w:name="_Toc376178631"/>
            <w:bookmarkStart w:id="113" w:name="_Toc361039834"/>
            <w:bookmarkStart w:id="114" w:name="_Toc361040004"/>
            <w:bookmarkStart w:id="115" w:name="_Toc361040047"/>
            <w:bookmarkStart w:id="116" w:name="_Toc534897222"/>
            <w:bookmarkStart w:id="117" w:name="_Toc99038415"/>
            <w:r w:rsidRPr="00FF35D8">
              <w:rPr>
                <w:rFonts w:cs="Arial"/>
                <w:sz w:val="22"/>
              </w:rPr>
              <w:t>C1</w:t>
            </w:r>
            <w:r w:rsidR="000B71DE" w:rsidRPr="00FF35D8">
              <w:rPr>
                <w:rFonts w:cs="Arial"/>
                <w:sz w:val="22"/>
              </w:rPr>
              <w:t>3</w:t>
            </w:r>
            <w:r w:rsidR="0074308E" w:rsidRPr="00FF35D8">
              <w:rPr>
                <w:rFonts w:cs="Arial"/>
                <w:sz w:val="22"/>
              </w:rPr>
              <w:t xml:space="preserve"> </w:t>
            </w:r>
            <w:r w:rsidRPr="00FF35D8">
              <w:rPr>
                <w:rFonts w:cs="Arial"/>
                <w:sz w:val="22"/>
              </w:rPr>
              <w:t xml:space="preserve">  </w:t>
            </w:r>
            <w:r w:rsidR="00B672F6" w:rsidRPr="00FF35D8">
              <w:rPr>
                <w:rFonts w:cs="Arial"/>
                <w:sz w:val="22"/>
              </w:rPr>
              <w:t xml:space="preserve">Minor </w:t>
            </w:r>
            <w:r w:rsidR="0074308E" w:rsidRPr="00FF35D8">
              <w:rPr>
                <w:rFonts w:cs="Arial"/>
                <w:sz w:val="22"/>
              </w:rPr>
              <w:t>Change of Reference Standard</w:t>
            </w:r>
            <w:bookmarkEnd w:id="112"/>
            <w:bookmarkEnd w:id="113"/>
            <w:bookmarkEnd w:id="114"/>
            <w:bookmarkEnd w:id="115"/>
            <w:bookmarkEnd w:id="116"/>
            <w:bookmarkEnd w:id="117"/>
          </w:p>
        </w:tc>
      </w:tr>
      <w:tr w:rsidR="0074308E" w:rsidRPr="00FF35D8" w14:paraId="562F54E6" w14:textId="77777777" w:rsidTr="004F3F2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FAE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23D" w14:textId="552E4D50" w:rsidR="00937853" w:rsidRPr="00FF35D8" w:rsidRDefault="003E74B8" w:rsidP="00FF35D8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For</w:t>
            </w:r>
            <w:r w:rsidR="00B672F6" w:rsidRPr="00FF35D8">
              <w:rPr>
                <w:rFonts w:cs="Arial"/>
              </w:rPr>
              <w:t xml:space="preserve"> change of reference standard prepared and qualified by an approved preparation and calibration/qualification protocol</w:t>
            </w:r>
            <w:r w:rsidR="00937853" w:rsidRPr="00FF35D8">
              <w:rPr>
                <w:rFonts w:cs="Arial"/>
              </w:rPr>
              <w:t xml:space="preserve">, and the old reference standard material is not available anymore for direct comparison with the new material. </w:t>
            </w:r>
          </w:p>
          <w:p w14:paraId="2E5FAE8D" w14:textId="77777777" w:rsidR="000C099F" w:rsidRPr="00FF35D8" w:rsidRDefault="00B672F6" w:rsidP="00FF35D8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If there is a ch</w:t>
            </w:r>
            <w:r w:rsidR="006A78BF" w:rsidRPr="00FF35D8">
              <w:rPr>
                <w:rFonts w:cs="Arial"/>
              </w:rPr>
              <w:t xml:space="preserve">ange of the approved </w:t>
            </w:r>
            <w:r w:rsidR="009A0DEF" w:rsidRPr="00FF35D8">
              <w:rPr>
                <w:rFonts w:cs="Arial"/>
              </w:rPr>
              <w:t xml:space="preserve">qualification </w:t>
            </w:r>
            <w:r w:rsidR="006A78BF" w:rsidRPr="00FF35D8">
              <w:rPr>
                <w:rFonts w:cs="Arial"/>
              </w:rPr>
              <w:t>protocol</w:t>
            </w:r>
            <w:r w:rsidR="00937853" w:rsidRPr="00FF35D8">
              <w:rPr>
                <w:rFonts w:cs="Arial"/>
              </w:rPr>
              <w:t xml:space="preserve"> and the old reference standard material is not available anymore</w:t>
            </w:r>
            <w:r w:rsidR="006A78BF" w:rsidRPr="00FF35D8">
              <w:rPr>
                <w:rFonts w:cs="Arial"/>
              </w:rPr>
              <w:t xml:space="preserve">, </w:t>
            </w:r>
            <w:r w:rsidRPr="00FF35D8">
              <w:rPr>
                <w:rFonts w:cs="Arial"/>
              </w:rPr>
              <w:t>refer to MIV-1 B14.</w:t>
            </w:r>
          </w:p>
          <w:p w14:paraId="40DDB843" w14:textId="7545401D" w:rsidR="00FF5DF1" w:rsidRDefault="00B640AF" w:rsidP="00FF35D8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Notification is not required for t</w:t>
            </w:r>
            <w:r w:rsidR="00FF5DF1">
              <w:rPr>
                <w:rFonts w:cs="Arial"/>
              </w:rPr>
              <w:t>he following changes:</w:t>
            </w:r>
          </w:p>
          <w:p w14:paraId="6171ADD3" w14:textId="50C8F27F" w:rsidR="009C7025" w:rsidRPr="00FF35D8" w:rsidRDefault="00FF5DF1" w:rsidP="004F3F2A">
            <w:pPr>
              <w:numPr>
                <w:ilvl w:val="1"/>
                <w:numId w:val="48"/>
              </w:numPr>
              <w:spacing w:before="120" w:after="120" w:line="240" w:lineRule="auto"/>
              <w:ind w:left="743" w:hanging="357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174668">
              <w:rPr>
                <w:rFonts w:cs="Arial"/>
              </w:rPr>
              <w:t xml:space="preserve">ntroduction of a new reference standard which is qualified in accordance with </w:t>
            </w:r>
            <w:r w:rsidR="00937853" w:rsidRPr="00FF35D8">
              <w:rPr>
                <w:rFonts w:cs="Arial"/>
              </w:rPr>
              <w:t xml:space="preserve">the approved </w:t>
            </w:r>
            <w:r w:rsidR="009A0DEF" w:rsidRPr="00FF35D8">
              <w:rPr>
                <w:rFonts w:cs="Arial"/>
              </w:rPr>
              <w:t xml:space="preserve">qualification </w:t>
            </w:r>
            <w:r w:rsidR="00937853" w:rsidRPr="00FF35D8">
              <w:rPr>
                <w:rFonts w:cs="Arial"/>
              </w:rPr>
              <w:t xml:space="preserve">protocol, and </w:t>
            </w:r>
            <w:r w:rsidR="00174668">
              <w:rPr>
                <w:rFonts w:cs="Arial"/>
              </w:rPr>
              <w:t xml:space="preserve">when </w:t>
            </w:r>
            <w:r w:rsidR="00937853" w:rsidRPr="00FF35D8">
              <w:rPr>
                <w:rFonts w:cs="Arial"/>
              </w:rPr>
              <w:t xml:space="preserve">the old reference standard material is available for direct comparison with the new material. </w:t>
            </w:r>
          </w:p>
          <w:p w14:paraId="737E7A86" w14:textId="480BC9BA" w:rsidR="0074308E" w:rsidRPr="00FF35D8" w:rsidRDefault="00FF5DF1" w:rsidP="004F3F2A">
            <w:pPr>
              <w:numPr>
                <w:ilvl w:val="1"/>
                <w:numId w:val="48"/>
              </w:numPr>
              <w:spacing w:before="120" w:after="120" w:line="240" w:lineRule="auto"/>
              <w:ind w:left="743" w:hanging="357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9C7025" w:rsidRPr="00FF35D8">
              <w:rPr>
                <w:rFonts w:cs="Arial"/>
              </w:rPr>
              <w:t>xtension of the reference standard shelf-life or retest period if the reference standard is within the limits/conditions as detailed in the approved qualification protocol.</w:t>
            </w:r>
          </w:p>
        </w:tc>
      </w:tr>
      <w:tr w:rsidR="0074308E" w:rsidRPr="00FF35D8" w14:paraId="11007290" w14:textId="77777777" w:rsidTr="004F3F2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CE2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7D5" w14:textId="2628B367" w:rsidR="00F24BDC" w:rsidRPr="00FF35D8" w:rsidRDefault="00F24BDC" w:rsidP="00FF35D8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Amended relevant CTD Sections.</w:t>
            </w:r>
          </w:p>
          <w:p w14:paraId="2040FD4F" w14:textId="35116DB7" w:rsidR="00F24BDC" w:rsidRPr="00FF35D8" w:rsidRDefault="00F24BDC" w:rsidP="00FF35D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ascii="Arial" w:hAnsi="Arial" w:cs="Arial"/>
                <w:color w:val="000000" w:themeColor="text1"/>
              </w:rPr>
            </w:pPr>
            <w:r w:rsidRPr="00FF35D8">
              <w:rPr>
                <w:rFonts w:ascii="Arial" w:hAnsi="Arial" w:cs="Arial"/>
              </w:rPr>
              <w:t>A declaration that there is no change to the preparation and calibration/qualification protocols, if applicable.</w:t>
            </w:r>
          </w:p>
          <w:p w14:paraId="4A9EC86E" w14:textId="2E4821AF" w:rsidR="0074308E" w:rsidRPr="00FF35D8" w:rsidRDefault="0074308E" w:rsidP="00FF35D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ascii="Arial" w:hAnsi="Arial" w:cs="Arial"/>
                <w:color w:val="000000" w:themeColor="text1"/>
              </w:rPr>
            </w:pPr>
            <w:r w:rsidRPr="00FF35D8">
              <w:rPr>
                <w:rFonts w:ascii="Arial" w:hAnsi="Arial" w:cs="Arial"/>
                <w:color w:val="000000" w:themeColor="text1"/>
              </w:rPr>
              <w:t>Certificate of analysis of the proposed reference standard.</w:t>
            </w:r>
          </w:p>
          <w:p w14:paraId="49B71DD6" w14:textId="6599C70B" w:rsidR="00500FAD" w:rsidRPr="00FF35D8" w:rsidRDefault="00B53EC0" w:rsidP="00FF35D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ascii="Arial" w:hAnsi="Arial" w:cs="Arial"/>
                <w:color w:val="000000" w:themeColor="text1"/>
              </w:rPr>
            </w:pPr>
            <w:r w:rsidRPr="00FF35D8">
              <w:rPr>
                <w:rFonts w:ascii="Arial" w:hAnsi="Arial" w:cs="Arial"/>
              </w:rPr>
              <w:t>Certificate of analysis or batch</w:t>
            </w:r>
            <w:r w:rsidR="0074308E" w:rsidRPr="00FF35D8">
              <w:rPr>
                <w:rFonts w:ascii="Arial" w:hAnsi="Arial" w:cs="Arial"/>
              </w:rPr>
              <w:t xml:space="preserve"> analysis data (in a comparative tabulated format) of </w:t>
            </w:r>
            <w:r w:rsidR="00CA42D7" w:rsidRPr="00FF35D8">
              <w:rPr>
                <w:rFonts w:ascii="Arial" w:hAnsi="Arial" w:cs="Arial"/>
              </w:rPr>
              <w:t xml:space="preserve">the </w:t>
            </w:r>
            <w:r w:rsidR="0074308E" w:rsidRPr="00FF35D8">
              <w:rPr>
                <w:rFonts w:ascii="Arial" w:hAnsi="Arial" w:cs="Arial"/>
              </w:rPr>
              <w:t xml:space="preserve">drug substance or drug product on at least two production batches using the </w:t>
            </w:r>
            <w:r w:rsidR="00D81CE2" w:rsidRPr="00FF35D8">
              <w:rPr>
                <w:rFonts w:ascii="Arial" w:hAnsi="Arial" w:cs="Arial"/>
              </w:rPr>
              <w:t>approved</w:t>
            </w:r>
            <w:r w:rsidR="0074308E" w:rsidRPr="00FF35D8">
              <w:rPr>
                <w:rFonts w:ascii="Arial" w:hAnsi="Arial" w:cs="Arial"/>
              </w:rPr>
              <w:t xml:space="preserve"> and proposed reference standard.</w:t>
            </w:r>
          </w:p>
        </w:tc>
      </w:tr>
    </w:tbl>
    <w:p w14:paraId="47FFEBD0" w14:textId="77777777" w:rsidR="00776599" w:rsidRPr="00FF35D8" w:rsidRDefault="00776599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52C4B861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40067509" w14:textId="323734B7" w:rsidR="0074308E" w:rsidRPr="00FF35D8" w:rsidRDefault="00F24BDC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118" w:name="_Toc361039835"/>
            <w:bookmarkStart w:id="119" w:name="_Toc361040005"/>
            <w:bookmarkStart w:id="120" w:name="_Toc361040048"/>
            <w:bookmarkStart w:id="121" w:name="_Toc376178632"/>
            <w:bookmarkStart w:id="122" w:name="_Toc534897223"/>
            <w:bookmarkStart w:id="123" w:name="_Toc99038416"/>
            <w:r w:rsidRPr="00FF35D8">
              <w:rPr>
                <w:rFonts w:cs="Arial"/>
                <w:sz w:val="22"/>
              </w:rPr>
              <w:lastRenderedPageBreak/>
              <w:t>C1</w:t>
            </w:r>
            <w:r w:rsidR="000B71DE" w:rsidRPr="00FF35D8">
              <w:rPr>
                <w:rFonts w:cs="Arial"/>
                <w:sz w:val="22"/>
              </w:rPr>
              <w:t>4</w:t>
            </w:r>
            <w:r w:rsidR="0074308E" w:rsidRPr="00FF35D8">
              <w:rPr>
                <w:rFonts w:cs="Arial"/>
                <w:sz w:val="22"/>
              </w:rPr>
              <w:t xml:space="preserve"> </w:t>
            </w:r>
            <w:r w:rsidRPr="00FF35D8">
              <w:rPr>
                <w:rFonts w:cs="Arial"/>
                <w:sz w:val="22"/>
              </w:rPr>
              <w:t xml:space="preserve">  </w:t>
            </w:r>
            <w:r w:rsidR="0074308E" w:rsidRPr="00FF35D8">
              <w:rPr>
                <w:rFonts w:cs="Arial"/>
                <w:sz w:val="22"/>
              </w:rPr>
              <w:t xml:space="preserve">Change in </w:t>
            </w:r>
            <w:r w:rsidR="00CA42D7" w:rsidRPr="00FF35D8">
              <w:rPr>
                <w:rFonts w:cs="Arial"/>
                <w:sz w:val="22"/>
              </w:rPr>
              <w:t>S</w:t>
            </w:r>
            <w:r w:rsidR="0074308E" w:rsidRPr="00FF35D8">
              <w:rPr>
                <w:rFonts w:cs="Arial"/>
                <w:sz w:val="22"/>
              </w:rPr>
              <w:t xml:space="preserve">upplier of </w:t>
            </w:r>
            <w:r w:rsidR="00CA42D7" w:rsidRPr="00FF35D8">
              <w:rPr>
                <w:rFonts w:cs="Arial"/>
                <w:sz w:val="22"/>
              </w:rPr>
              <w:t>A</w:t>
            </w:r>
            <w:r w:rsidR="0074308E" w:rsidRPr="00FF35D8">
              <w:rPr>
                <w:rFonts w:cs="Arial"/>
                <w:sz w:val="22"/>
              </w:rPr>
              <w:t>nimal</w:t>
            </w:r>
            <w:r w:rsidR="00CA42D7" w:rsidRPr="00FF35D8">
              <w:rPr>
                <w:rFonts w:cs="Arial"/>
                <w:sz w:val="22"/>
              </w:rPr>
              <w:t>-</w:t>
            </w:r>
            <w:r w:rsidR="0074308E" w:rsidRPr="00FF35D8">
              <w:rPr>
                <w:rFonts w:cs="Arial"/>
                <w:sz w:val="22"/>
              </w:rPr>
              <w:t xml:space="preserve">derived </w:t>
            </w:r>
            <w:r w:rsidR="00CA42D7" w:rsidRPr="00FF35D8">
              <w:rPr>
                <w:rFonts w:cs="Arial"/>
                <w:sz w:val="22"/>
              </w:rPr>
              <w:t>M</w:t>
            </w:r>
            <w:r w:rsidR="0074308E" w:rsidRPr="00FF35D8">
              <w:rPr>
                <w:rFonts w:cs="Arial"/>
                <w:sz w:val="22"/>
              </w:rPr>
              <w:t>aterial</w:t>
            </w:r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</w:tr>
      <w:tr w:rsidR="0074308E" w:rsidRPr="00FF35D8" w14:paraId="17882899" w14:textId="77777777" w:rsidTr="004F3F2A">
        <w:tc>
          <w:tcPr>
            <w:tcW w:w="279" w:type="dxa"/>
          </w:tcPr>
          <w:p w14:paraId="5FE24078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05D036A1" w14:textId="0746CB60" w:rsidR="0074308E" w:rsidRPr="005C3879" w:rsidRDefault="0074308E" w:rsidP="00FF35D8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 xml:space="preserve">For animal-derived material of mammalian or avian origin used as </w:t>
            </w:r>
            <w:r w:rsidR="005C3879">
              <w:rPr>
                <w:rFonts w:cs="Arial"/>
              </w:rPr>
              <w:t xml:space="preserve">a raw material in the drug substance manufacturing or as </w:t>
            </w:r>
            <w:r w:rsidRPr="00FF35D8">
              <w:rPr>
                <w:rFonts w:cs="Arial"/>
              </w:rPr>
              <w:t>an excipient  in the drug product, or as an adjuvant.</w:t>
            </w:r>
          </w:p>
          <w:p w14:paraId="3E584DCC" w14:textId="53358B2F" w:rsidR="005C3879" w:rsidRPr="005C3879" w:rsidRDefault="00B640AF" w:rsidP="005C3879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Notification is not required for a</w:t>
            </w:r>
            <w:r w:rsidR="005C3879" w:rsidRPr="000372FD">
              <w:rPr>
                <w:rFonts w:cs="Arial"/>
              </w:rPr>
              <w:t xml:space="preserve"> change in the supplier of a raw material or an excipient which is not of mammalian or avian origin if the specification of the raw material or excipient remains unchanged.</w:t>
            </w:r>
          </w:p>
          <w:p w14:paraId="1FCC7BB5" w14:textId="77777777" w:rsidR="0074308E" w:rsidRPr="00FF35D8" w:rsidRDefault="0074308E" w:rsidP="00FF35D8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There is no change in the animal species from which the animal-derived material is obtained from.</w:t>
            </w:r>
          </w:p>
          <w:p w14:paraId="02B29198" w14:textId="3C8F6C34" w:rsidR="005C3879" w:rsidRPr="00FF35D8" w:rsidRDefault="0074308E" w:rsidP="005C3879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Animal derived material from other species (e.g.</w:t>
            </w:r>
            <w:r w:rsidR="00065635">
              <w:rPr>
                <w:rFonts w:cs="Arial"/>
              </w:rPr>
              <w:t>.</w:t>
            </w:r>
            <w:r w:rsidRPr="00FF35D8">
              <w:rPr>
                <w:rFonts w:cs="Arial"/>
              </w:rPr>
              <w:t xml:space="preserve"> insects and fish) is exempted from this variation.</w:t>
            </w:r>
          </w:p>
        </w:tc>
      </w:tr>
      <w:tr w:rsidR="0074308E" w:rsidRPr="00FF35D8" w14:paraId="07D1A66B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5D8A27C9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18252F53" w14:textId="12BDFD15" w:rsidR="0074308E" w:rsidRPr="00FF35D8" w:rsidRDefault="0074308E" w:rsidP="00FF35D8">
            <w:pPr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Information on all countries which the animal was sourced from*</w:t>
            </w:r>
            <w:r w:rsidR="008D26EF" w:rsidRPr="00FF35D8">
              <w:rPr>
                <w:rFonts w:cs="Arial"/>
              </w:rPr>
              <w:t>.</w:t>
            </w:r>
          </w:p>
          <w:p w14:paraId="1DA2CC86" w14:textId="21610789" w:rsidR="00625D4A" w:rsidRPr="00FF35D8" w:rsidRDefault="00625D4A" w:rsidP="00FF35D8">
            <w:pPr>
              <w:spacing w:before="120" w:after="120" w:line="240" w:lineRule="auto"/>
              <w:ind w:left="478" w:hanging="160"/>
              <w:rPr>
                <w:rFonts w:cs="Arial"/>
              </w:rPr>
            </w:pPr>
            <w:r w:rsidRPr="00FF35D8">
              <w:rPr>
                <w:rFonts w:cs="Arial"/>
                <w:i/>
              </w:rPr>
              <w:t>* not required for animal derived products from milk and certain milk derivatives such as lactose</w:t>
            </w:r>
            <w:r w:rsidR="00BD68D2" w:rsidRPr="00FF35D8">
              <w:rPr>
                <w:rFonts w:cs="Arial"/>
                <w:i/>
              </w:rPr>
              <w:t>.</w:t>
            </w:r>
          </w:p>
          <w:p w14:paraId="65954CCE" w14:textId="77777777" w:rsidR="0074308E" w:rsidRPr="00FF35D8" w:rsidRDefault="0074308E" w:rsidP="00FF35D8">
            <w:pPr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Declaration on the nature of the animal tissue and/or fluid used</w:t>
            </w:r>
            <w:r w:rsidR="008D26EF" w:rsidRPr="00FF35D8">
              <w:rPr>
                <w:rFonts w:cs="Arial"/>
              </w:rPr>
              <w:t>.</w:t>
            </w:r>
          </w:p>
          <w:p w14:paraId="2BB069E2" w14:textId="77777777" w:rsidR="0074308E" w:rsidRPr="00FF35D8" w:rsidRDefault="0074308E" w:rsidP="00FF35D8">
            <w:pPr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Certificate of analysis for the animal-derived material used, stating the name and address of the supplier.</w:t>
            </w:r>
          </w:p>
          <w:p w14:paraId="29DABDEC" w14:textId="77777777" w:rsidR="0074308E" w:rsidRPr="00FF35D8" w:rsidRDefault="0074308E" w:rsidP="00FF35D8">
            <w:pPr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Relevant information to demonstrate that the manufacturing process is capable of inactivating adventitious agents, where applicable</w:t>
            </w:r>
            <w:r w:rsidR="008D26EF" w:rsidRPr="00FF35D8">
              <w:rPr>
                <w:rFonts w:cs="Arial"/>
              </w:rPr>
              <w:t>.</w:t>
            </w:r>
          </w:p>
          <w:p w14:paraId="47B4D0C3" w14:textId="65FFF236" w:rsidR="0074308E" w:rsidRPr="00FF35D8" w:rsidRDefault="0074308E" w:rsidP="00FF35D8">
            <w:pPr>
              <w:numPr>
                <w:ilvl w:val="0"/>
                <w:numId w:val="20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For materials derived from TSE-relevant animals (i.e.</w:t>
            </w:r>
            <w:r w:rsidR="00065635">
              <w:rPr>
                <w:rFonts w:cs="Arial"/>
              </w:rPr>
              <w:t>,</w:t>
            </w:r>
            <w:r w:rsidRPr="00FF35D8">
              <w:rPr>
                <w:rFonts w:cs="Arial"/>
              </w:rPr>
              <w:t xml:space="preserve"> cattle, sheep, goat, deer, elk, non-human primates):</w:t>
            </w:r>
          </w:p>
          <w:p w14:paraId="357295F9" w14:textId="77777777" w:rsidR="00F24BDC" w:rsidRPr="00FF35D8" w:rsidRDefault="00F24BDC" w:rsidP="00FF35D8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74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 valid TSE Risk evaluation CEP; or</w:t>
            </w:r>
          </w:p>
          <w:p w14:paraId="07F04D8C" w14:textId="77777777" w:rsidR="00F24BDC" w:rsidRPr="00FF35D8" w:rsidRDefault="00F24BDC" w:rsidP="00FF35D8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716" w:hanging="339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If CEP is not available,</w:t>
            </w:r>
          </w:p>
          <w:p w14:paraId="28DBB067" w14:textId="77777777" w:rsidR="00F24BDC" w:rsidRPr="00FF35D8" w:rsidRDefault="00F24BDC" w:rsidP="00FF35D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915" w:hanging="76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Description of the tissue/organ/fluid-collection procedures and measures in place to avoid cross-contamination.</w:t>
            </w:r>
          </w:p>
          <w:p w14:paraId="0F0B3045" w14:textId="2B115390" w:rsidR="00F24BDC" w:rsidRPr="00FF35D8" w:rsidRDefault="00F24BDC" w:rsidP="00FF35D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915" w:hanging="76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Details of the risk factors associated with the route of administration and maximum therapeutic dosage of the </w:t>
            </w:r>
            <w:r w:rsidR="00694BEC" w:rsidRPr="00FF35D8">
              <w:rPr>
                <w:rFonts w:ascii="Arial" w:hAnsi="Arial" w:cs="Arial"/>
              </w:rPr>
              <w:t xml:space="preserve">drug </w:t>
            </w:r>
            <w:r w:rsidRPr="00FF35D8">
              <w:rPr>
                <w:rFonts w:ascii="Arial" w:hAnsi="Arial" w:cs="Arial"/>
              </w:rPr>
              <w:t>product.</w:t>
            </w:r>
          </w:p>
          <w:p w14:paraId="3BE97F9E" w14:textId="14541A81" w:rsidR="0074308E" w:rsidRPr="00FF35D8" w:rsidRDefault="00F24BDC" w:rsidP="00FF35D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915" w:hanging="76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Relevant information demonstrating that the manufacturing process is capable of inactivating TSE agents.</w:t>
            </w:r>
          </w:p>
        </w:tc>
      </w:tr>
    </w:tbl>
    <w:p w14:paraId="10EA1E6E" w14:textId="77777777" w:rsidR="0074308E" w:rsidRPr="00FF35D8" w:rsidRDefault="0074308E" w:rsidP="00FF35D8">
      <w:pPr>
        <w:spacing w:before="120" w:after="120" w:line="240" w:lineRule="auto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805"/>
      </w:tblGrid>
      <w:tr w:rsidR="0074308E" w:rsidRPr="00FF35D8" w14:paraId="2A13EDAF" w14:textId="77777777" w:rsidTr="0074308E">
        <w:tc>
          <w:tcPr>
            <w:tcW w:w="9180" w:type="dxa"/>
            <w:gridSpan w:val="2"/>
            <w:tcBorders>
              <w:top w:val="thinThickThinSmallGap" w:sz="24" w:space="0" w:color="auto"/>
            </w:tcBorders>
          </w:tcPr>
          <w:p w14:paraId="4E583C73" w14:textId="0AEE2D18" w:rsidR="0074308E" w:rsidRPr="00FF35D8" w:rsidRDefault="0074308E" w:rsidP="00FF35D8">
            <w:pPr>
              <w:pStyle w:val="Heading2"/>
              <w:numPr>
                <w:ilvl w:val="0"/>
                <w:numId w:val="0"/>
              </w:numPr>
              <w:spacing w:line="240" w:lineRule="auto"/>
              <w:ind w:left="576" w:hanging="576"/>
              <w:rPr>
                <w:rFonts w:cs="Arial"/>
                <w:sz w:val="22"/>
              </w:rPr>
            </w:pPr>
            <w:bookmarkStart w:id="124" w:name="_Toc376178633"/>
            <w:bookmarkStart w:id="125" w:name="_Toc534897224"/>
            <w:bookmarkStart w:id="126" w:name="_Toc99038417"/>
            <w:bookmarkStart w:id="127" w:name="_Toc361039836"/>
            <w:bookmarkStart w:id="128" w:name="_Toc361040006"/>
            <w:bookmarkStart w:id="129" w:name="_Toc361040049"/>
            <w:r w:rsidRPr="00FF35D8">
              <w:rPr>
                <w:rFonts w:cs="Arial"/>
                <w:sz w:val="22"/>
              </w:rPr>
              <w:t>C1</w:t>
            </w:r>
            <w:r w:rsidR="000B71DE" w:rsidRPr="00FF35D8">
              <w:rPr>
                <w:rFonts w:cs="Arial"/>
                <w:sz w:val="22"/>
              </w:rPr>
              <w:t>5</w:t>
            </w:r>
            <w:r w:rsidRPr="00FF35D8">
              <w:rPr>
                <w:rFonts w:cs="Arial"/>
                <w:sz w:val="22"/>
              </w:rPr>
              <w:t xml:space="preserve"> </w:t>
            </w:r>
            <w:r w:rsidR="00F24BDC" w:rsidRPr="00FF35D8">
              <w:rPr>
                <w:rFonts w:cs="Arial"/>
                <w:sz w:val="22"/>
              </w:rPr>
              <w:t xml:space="preserve">  </w:t>
            </w:r>
            <w:r w:rsidRPr="00FF35D8">
              <w:rPr>
                <w:rFonts w:cs="Arial"/>
                <w:sz w:val="22"/>
              </w:rPr>
              <w:t xml:space="preserve">Change in </w:t>
            </w:r>
            <w:r w:rsidR="008D26EF" w:rsidRPr="00FF35D8">
              <w:rPr>
                <w:rFonts w:cs="Arial"/>
                <w:sz w:val="22"/>
              </w:rPr>
              <w:t>S</w:t>
            </w:r>
            <w:r w:rsidRPr="00FF35D8">
              <w:rPr>
                <w:rFonts w:cs="Arial"/>
                <w:sz w:val="22"/>
              </w:rPr>
              <w:t xml:space="preserve">pecies of </w:t>
            </w:r>
            <w:r w:rsidR="008D26EF" w:rsidRPr="00FF35D8">
              <w:rPr>
                <w:rFonts w:cs="Arial"/>
                <w:sz w:val="22"/>
              </w:rPr>
              <w:t>A</w:t>
            </w:r>
            <w:r w:rsidRPr="00FF35D8">
              <w:rPr>
                <w:rFonts w:cs="Arial"/>
                <w:sz w:val="22"/>
              </w:rPr>
              <w:t>nimal</w:t>
            </w:r>
            <w:r w:rsidR="008D26EF" w:rsidRPr="00FF35D8">
              <w:rPr>
                <w:rFonts w:cs="Arial"/>
                <w:sz w:val="22"/>
              </w:rPr>
              <w:t>-</w:t>
            </w:r>
            <w:r w:rsidRPr="00FF35D8">
              <w:rPr>
                <w:rFonts w:cs="Arial"/>
                <w:sz w:val="22"/>
              </w:rPr>
              <w:t xml:space="preserve">derived </w:t>
            </w:r>
            <w:r w:rsidR="008D26EF" w:rsidRPr="00FF35D8">
              <w:rPr>
                <w:rFonts w:cs="Arial"/>
                <w:sz w:val="22"/>
              </w:rPr>
              <w:t>M</w:t>
            </w:r>
            <w:r w:rsidRPr="00FF35D8">
              <w:rPr>
                <w:rFonts w:cs="Arial"/>
                <w:sz w:val="22"/>
              </w:rPr>
              <w:t>aterial</w:t>
            </w:r>
            <w:bookmarkEnd w:id="124"/>
            <w:bookmarkEnd w:id="125"/>
            <w:bookmarkEnd w:id="126"/>
            <w:r w:rsidRPr="00FF35D8">
              <w:rPr>
                <w:rFonts w:cs="Arial"/>
                <w:sz w:val="22"/>
              </w:rPr>
              <w:t xml:space="preserve"> </w:t>
            </w:r>
            <w:bookmarkEnd w:id="127"/>
            <w:bookmarkEnd w:id="128"/>
            <w:bookmarkEnd w:id="129"/>
          </w:p>
        </w:tc>
      </w:tr>
      <w:tr w:rsidR="0074308E" w:rsidRPr="00FF35D8" w14:paraId="5174099E" w14:textId="77777777" w:rsidTr="004F3F2A">
        <w:tc>
          <w:tcPr>
            <w:tcW w:w="279" w:type="dxa"/>
          </w:tcPr>
          <w:p w14:paraId="599212B6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C</w:t>
            </w:r>
          </w:p>
        </w:tc>
        <w:tc>
          <w:tcPr>
            <w:tcW w:w="8901" w:type="dxa"/>
          </w:tcPr>
          <w:p w14:paraId="53E4BC8A" w14:textId="77777777" w:rsidR="0074308E" w:rsidRPr="00FF35D8" w:rsidRDefault="0074308E" w:rsidP="00FF35D8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lang w:val="en-GB"/>
              </w:rPr>
            </w:pPr>
            <w:r w:rsidRPr="00FF35D8">
              <w:rPr>
                <w:rFonts w:ascii="Arial" w:hAnsi="Arial" w:cs="Arial"/>
                <w:lang w:val="en-GB"/>
              </w:rPr>
              <w:t xml:space="preserve">For </w:t>
            </w:r>
            <w:r w:rsidR="008D26EF" w:rsidRPr="00FF35D8">
              <w:rPr>
                <w:rFonts w:ascii="Arial" w:hAnsi="Arial" w:cs="Arial"/>
                <w:lang w:val="en-GB"/>
              </w:rPr>
              <w:t xml:space="preserve">a </w:t>
            </w:r>
            <w:r w:rsidRPr="00FF35D8">
              <w:rPr>
                <w:rFonts w:ascii="Arial" w:hAnsi="Arial" w:cs="Arial"/>
                <w:lang w:val="en-GB"/>
              </w:rPr>
              <w:t xml:space="preserve">change in species of animal-derived material used </w:t>
            </w:r>
          </w:p>
          <w:p w14:paraId="0921CD9B" w14:textId="4AE6B028" w:rsidR="0074308E" w:rsidRPr="00FF35D8" w:rsidRDefault="008D26EF" w:rsidP="00FF35D8">
            <w:pPr>
              <w:pStyle w:val="ListParagraph"/>
              <w:numPr>
                <w:ilvl w:val="1"/>
                <w:numId w:val="30"/>
              </w:numPr>
              <w:spacing w:before="120" w:after="120" w:line="240" w:lineRule="auto"/>
              <w:ind w:left="602" w:hanging="284"/>
              <w:rPr>
                <w:rFonts w:ascii="Arial" w:hAnsi="Arial" w:cs="Arial"/>
                <w:lang w:val="en-GB"/>
              </w:rPr>
            </w:pPr>
            <w:r w:rsidRPr="00FF35D8">
              <w:rPr>
                <w:rFonts w:ascii="Arial" w:hAnsi="Arial" w:cs="Arial"/>
                <w:lang w:val="en-GB"/>
              </w:rPr>
              <w:t>a</w:t>
            </w:r>
            <w:r w:rsidR="0074308E" w:rsidRPr="00FF35D8">
              <w:rPr>
                <w:rFonts w:ascii="Arial" w:hAnsi="Arial" w:cs="Arial"/>
                <w:lang w:val="en-GB"/>
              </w:rPr>
              <w:t>t any stage in the manufacture of the drug substance and/or drug product (e.g.</w:t>
            </w:r>
            <w:r w:rsidR="00065635">
              <w:rPr>
                <w:rFonts w:ascii="Arial" w:hAnsi="Arial" w:cs="Arial"/>
                <w:lang w:val="en-GB"/>
              </w:rPr>
              <w:t>,</w:t>
            </w:r>
            <w:r w:rsidR="0074308E" w:rsidRPr="00FF35D8">
              <w:rPr>
                <w:rFonts w:ascii="Arial" w:hAnsi="Arial" w:cs="Arial"/>
                <w:lang w:val="en-GB"/>
              </w:rPr>
              <w:t xml:space="preserve"> from pig to cow); </w:t>
            </w:r>
          </w:p>
          <w:p w14:paraId="70D9741E" w14:textId="100E7AFB" w:rsidR="0074308E" w:rsidRPr="00FF35D8" w:rsidRDefault="0074308E" w:rsidP="00FF35D8">
            <w:pPr>
              <w:pStyle w:val="ListParagraph"/>
              <w:numPr>
                <w:ilvl w:val="1"/>
                <w:numId w:val="30"/>
              </w:numPr>
              <w:spacing w:before="120" w:after="120" w:line="240" w:lineRule="auto"/>
              <w:ind w:left="602" w:hanging="284"/>
              <w:rPr>
                <w:rFonts w:ascii="Arial" w:hAnsi="Arial" w:cs="Arial"/>
                <w:lang w:val="en-GB"/>
              </w:rPr>
            </w:pPr>
            <w:r w:rsidRPr="00FF35D8">
              <w:rPr>
                <w:rFonts w:ascii="Arial" w:hAnsi="Arial" w:cs="Arial"/>
                <w:lang w:val="en-GB"/>
              </w:rPr>
              <w:t>as excipient or active substance (e.g.</w:t>
            </w:r>
            <w:r w:rsidR="00065635">
              <w:rPr>
                <w:rFonts w:ascii="Arial" w:hAnsi="Arial" w:cs="Arial"/>
                <w:lang w:val="en-GB"/>
              </w:rPr>
              <w:t>,</w:t>
            </w:r>
            <w:r w:rsidRPr="00FF35D8">
              <w:rPr>
                <w:rFonts w:ascii="Arial" w:hAnsi="Arial" w:cs="Arial"/>
                <w:lang w:val="en-GB"/>
              </w:rPr>
              <w:t xml:space="preserve"> bovine gelatine to porcine gelatine) of the drug product; or</w:t>
            </w:r>
          </w:p>
          <w:p w14:paraId="6148A7AB" w14:textId="77777777" w:rsidR="0074308E" w:rsidRPr="00FF35D8" w:rsidRDefault="0074308E" w:rsidP="00FF35D8">
            <w:pPr>
              <w:pStyle w:val="ListParagraph"/>
              <w:numPr>
                <w:ilvl w:val="1"/>
                <w:numId w:val="30"/>
              </w:numPr>
              <w:spacing w:before="120" w:after="120" w:line="240" w:lineRule="auto"/>
              <w:ind w:left="602" w:hanging="284"/>
              <w:rPr>
                <w:rFonts w:ascii="Arial" w:hAnsi="Arial" w:cs="Arial"/>
                <w:lang w:val="en-GB"/>
              </w:rPr>
            </w:pPr>
            <w:r w:rsidRPr="00FF35D8">
              <w:rPr>
                <w:rFonts w:ascii="Arial" w:hAnsi="Arial" w:cs="Arial"/>
                <w:lang w:val="en-GB"/>
              </w:rPr>
              <w:t>as an adjuvant.</w:t>
            </w:r>
          </w:p>
          <w:p w14:paraId="3B55463B" w14:textId="77777777" w:rsidR="0074308E" w:rsidRPr="00FF35D8" w:rsidRDefault="0074308E" w:rsidP="00FF35D8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18" w:hanging="318"/>
              <w:rPr>
                <w:rFonts w:ascii="Arial" w:hAnsi="Arial" w:cs="Arial"/>
                <w:lang w:val="en-GB"/>
              </w:rPr>
            </w:pPr>
            <w:r w:rsidRPr="00FF35D8">
              <w:rPr>
                <w:rFonts w:ascii="Arial" w:hAnsi="Arial" w:cs="Arial"/>
              </w:rPr>
              <w:t>This variation includes all species of animals.</w:t>
            </w:r>
          </w:p>
        </w:tc>
      </w:tr>
      <w:tr w:rsidR="0074308E" w:rsidRPr="00FF35D8" w14:paraId="7FE703ED" w14:textId="77777777" w:rsidTr="004F3F2A">
        <w:tc>
          <w:tcPr>
            <w:tcW w:w="279" w:type="dxa"/>
            <w:tcBorders>
              <w:bottom w:val="single" w:sz="4" w:space="0" w:color="auto"/>
            </w:tcBorders>
          </w:tcPr>
          <w:p w14:paraId="6BA1D779" w14:textId="77777777" w:rsidR="0074308E" w:rsidRPr="00FF35D8" w:rsidRDefault="0074308E" w:rsidP="00FF35D8">
            <w:pPr>
              <w:spacing w:before="120" w:after="120" w:line="240" w:lineRule="auto"/>
              <w:rPr>
                <w:rFonts w:cs="Arial"/>
              </w:rPr>
            </w:pPr>
            <w:r w:rsidRPr="00FF35D8">
              <w:rPr>
                <w:rFonts w:cs="Arial"/>
              </w:rPr>
              <w:t>D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3AD43E6F" w14:textId="23AD0BD9" w:rsidR="0074308E" w:rsidRPr="00FF35D8" w:rsidRDefault="0074308E" w:rsidP="00FF35D8">
            <w:pPr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Information on all countries which the animal was sourced from</w:t>
            </w:r>
            <w:r w:rsidRPr="00FF35D8">
              <w:rPr>
                <w:rFonts w:cs="Arial"/>
                <w:b/>
              </w:rPr>
              <w:t>*</w:t>
            </w:r>
            <w:r w:rsidR="008D26EF" w:rsidRPr="00FF35D8">
              <w:rPr>
                <w:rFonts w:cs="Arial"/>
              </w:rPr>
              <w:t>.</w:t>
            </w:r>
          </w:p>
          <w:p w14:paraId="40AC4312" w14:textId="4B0103E0" w:rsidR="00625D4A" w:rsidRPr="00FF35D8" w:rsidRDefault="00625D4A" w:rsidP="00FF35D8">
            <w:pPr>
              <w:spacing w:before="120" w:after="120" w:line="240" w:lineRule="auto"/>
              <w:ind w:left="506" w:hanging="168"/>
              <w:rPr>
                <w:rFonts w:cs="Arial"/>
              </w:rPr>
            </w:pPr>
            <w:r w:rsidRPr="00FF35D8">
              <w:rPr>
                <w:rFonts w:cs="Arial"/>
                <w:b/>
                <w:i/>
              </w:rPr>
              <w:lastRenderedPageBreak/>
              <w:t>*</w:t>
            </w:r>
            <w:r w:rsidRPr="00FF35D8">
              <w:rPr>
                <w:rFonts w:cs="Arial"/>
                <w:i/>
              </w:rPr>
              <w:t xml:space="preserve"> not required for animal derived products from milk and certain milk derivatives such as lactose</w:t>
            </w:r>
            <w:r w:rsidR="00BD68D2" w:rsidRPr="00FF35D8">
              <w:rPr>
                <w:rFonts w:cs="Arial"/>
                <w:i/>
              </w:rPr>
              <w:t>.</w:t>
            </w:r>
          </w:p>
          <w:p w14:paraId="7B6BFD5D" w14:textId="77777777" w:rsidR="0074308E" w:rsidRPr="00FF35D8" w:rsidRDefault="0074308E" w:rsidP="00FF35D8">
            <w:pPr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Declaration on the nature of the animal tissue and/or fluid used</w:t>
            </w:r>
            <w:r w:rsidR="008D26EF" w:rsidRPr="00FF35D8">
              <w:rPr>
                <w:rFonts w:cs="Arial"/>
              </w:rPr>
              <w:t>.</w:t>
            </w:r>
          </w:p>
          <w:p w14:paraId="78E3DF34" w14:textId="77777777" w:rsidR="0074308E" w:rsidRPr="00FF35D8" w:rsidRDefault="0074308E" w:rsidP="00FF35D8">
            <w:pPr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Certificate of analysis for the animal-derived material used, stating the name and address of the supplier for mammalian and avian materials.</w:t>
            </w:r>
          </w:p>
          <w:p w14:paraId="58F6C8FF" w14:textId="77777777" w:rsidR="0074308E" w:rsidRPr="00FF35D8" w:rsidRDefault="0074308E" w:rsidP="00FF35D8">
            <w:pPr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Identification of new adventitious agents, where applicable</w:t>
            </w:r>
            <w:r w:rsidR="008D26EF" w:rsidRPr="00FF35D8">
              <w:rPr>
                <w:rFonts w:cs="Arial"/>
              </w:rPr>
              <w:t>.</w:t>
            </w:r>
          </w:p>
          <w:p w14:paraId="0E89C943" w14:textId="77777777" w:rsidR="0074308E" w:rsidRPr="00FF35D8" w:rsidRDefault="0074308E" w:rsidP="00FF35D8">
            <w:pPr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 xml:space="preserve">Relevant information to demonstrate that the manufacturing process is capable of inactivating </w:t>
            </w:r>
            <w:r w:rsidRPr="00FF35D8">
              <w:rPr>
                <w:rFonts w:cs="Arial"/>
                <w:bCs/>
              </w:rPr>
              <w:t>new</w:t>
            </w:r>
            <w:r w:rsidRPr="00FF35D8">
              <w:rPr>
                <w:rFonts w:cs="Arial"/>
                <w:color w:val="1F497D"/>
              </w:rPr>
              <w:t> </w:t>
            </w:r>
            <w:r w:rsidRPr="00FF35D8">
              <w:rPr>
                <w:rFonts w:cs="Arial"/>
              </w:rPr>
              <w:t>adventitious agents, where applicable</w:t>
            </w:r>
            <w:r w:rsidR="008D26EF" w:rsidRPr="00FF35D8">
              <w:rPr>
                <w:rFonts w:cs="Arial"/>
              </w:rPr>
              <w:t>.</w:t>
            </w:r>
          </w:p>
          <w:p w14:paraId="56FAD506" w14:textId="5E70300C" w:rsidR="0074308E" w:rsidRPr="00FF35D8" w:rsidRDefault="0074308E" w:rsidP="00FF35D8">
            <w:pPr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cs="Arial"/>
              </w:rPr>
            </w:pPr>
            <w:r w:rsidRPr="00FF35D8">
              <w:rPr>
                <w:rFonts w:cs="Arial"/>
              </w:rPr>
              <w:t>For materials derived from TSE-relevant animals (i.e.</w:t>
            </w:r>
            <w:r w:rsidR="00065635">
              <w:rPr>
                <w:rFonts w:cs="Arial"/>
              </w:rPr>
              <w:t>,</w:t>
            </w:r>
            <w:r w:rsidRPr="00FF35D8">
              <w:rPr>
                <w:rFonts w:cs="Arial"/>
              </w:rPr>
              <w:t xml:space="preserve"> cattle, sheep, goat, deer, elk, non-human primates):</w:t>
            </w:r>
          </w:p>
          <w:p w14:paraId="5D754EC3" w14:textId="77777777" w:rsidR="00F24BDC" w:rsidRPr="00FF35D8" w:rsidRDefault="00F24BDC" w:rsidP="00FF35D8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758" w:hanging="304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A valid TSE Risk evaluation CEP; or</w:t>
            </w:r>
          </w:p>
          <w:p w14:paraId="785B672D" w14:textId="77777777" w:rsidR="00F24BDC" w:rsidRPr="00FF35D8" w:rsidRDefault="00F24BDC" w:rsidP="00FF35D8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736" w:hanging="283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If CEP is not available,</w:t>
            </w:r>
          </w:p>
          <w:p w14:paraId="65922F78" w14:textId="77777777" w:rsidR="00F24BDC" w:rsidRPr="00FF35D8" w:rsidRDefault="00F24BDC" w:rsidP="00FF35D8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1057" w:hanging="14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Description of the tissue/organ/fluid-collection procedures and measures in place to avoid cross-contamination.</w:t>
            </w:r>
          </w:p>
          <w:p w14:paraId="3433EDD4" w14:textId="39D8BEB4" w:rsidR="00F24BDC" w:rsidRPr="00FF35D8" w:rsidRDefault="00F24BDC" w:rsidP="00FF35D8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1057" w:hanging="14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 xml:space="preserve">Details of the risk factors associated with the route of administration and maximum therapeutic dosage of the </w:t>
            </w:r>
            <w:r w:rsidR="00694BEC" w:rsidRPr="00FF35D8">
              <w:rPr>
                <w:rFonts w:ascii="Arial" w:hAnsi="Arial" w:cs="Arial"/>
              </w:rPr>
              <w:t xml:space="preserve">drug </w:t>
            </w:r>
            <w:r w:rsidRPr="00FF35D8">
              <w:rPr>
                <w:rFonts w:ascii="Arial" w:hAnsi="Arial" w:cs="Arial"/>
              </w:rPr>
              <w:t>product.</w:t>
            </w:r>
          </w:p>
          <w:p w14:paraId="3EB34EE9" w14:textId="3950CF9A" w:rsidR="0074308E" w:rsidRPr="00FF35D8" w:rsidRDefault="00F24BDC" w:rsidP="00FF35D8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1057" w:hanging="142"/>
              <w:rPr>
                <w:rFonts w:ascii="Arial" w:hAnsi="Arial" w:cs="Arial"/>
              </w:rPr>
            </w:pPr>
            <w:r w:rsidRPr="00FF35D8">
              <w:rPr>
                <w:rFonts w:ascii="Arial" w:hAnsi="Arial" w:cs="Arial"/>
              </w:rPr>
              <w:t>Relevant information demonstrating that the manufacturing process is capable of inactivating TSE agents.</w:t>
            </w:r>
          </w:p>
        </w:tc>
      </w:tr>
      <w:bookmarkEnd w:id="97"/>
      <w:bookmarkEnd w:id="23"/>
      <w:bookmarkEnd w:id="22"/>
      <w:bookmarkEnd w:id="21"/>
      <w:bookmarkEnd w:id="20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</w:tbl>
    <w:p w14:paraId="5E0AD891" w14:textId="77777777" w:rsidR="0036306C" w:rsidRPr="00FF35D8" w:rsidRDefault="0036306C" w:rsidP="00FF35D8">
      <w:pPr>
        <w:spacing w:before="120" w:after="120" w:line="240" w:lineRule="auto"/>
        <w:rPr>
          <w:rFonts w:cs="Arial"/>
          <w:b/>
          <w:color w:val="000000"/>
          <w:lang w:val="en-GB"/>
        </w:rPr>
      </w:pPr>
    </w:p>
    <w:p w14:paraId="6716C597" w14:textId="0458CF06" w:rsidR="00CA3F5F" w:rsidRDefault="00CA3F5F" w:rsidP="00CA3F5F">
      <w:pPr>
        <w:rPr>
          <w:rFonts w:cs="Arial"/>
          <w:b/>
          <w:color w:val="000000"/>
          <w:sz w:val="24"/>
          <w:lang w:val="en-GB"/>
        </w:rPr>
      </w:pPr>
      <w:r>
        <w:rPr>
          <w:rFonts w:cs="Arial"/>
          <w:b/>
          <w:color w:val="000000"/>
          <w:sz w:val="24"/>
          <w:lang w:val="en-GB"/>
        </w:rPr>
        <w:t>_______________________________________________________________</w:t>
      </w:r>
      <w:r w:rsidR="00037F76">
        <w:rPr>
          <w:rFonts w:cs="Arial"/>
          <w:b/>
          <w:color w:val="000000"/>
          <w:sz w:val="24"/>
          <w:lang w:val="en-GB"/>
        </w:rPr>
        <w:t>___</w:t>
      </w:r>
    </w:p>
    <w:p w14:paraId="6FA72DB6" w14:textId="77777777" w:rsidR="00CA3F5F" w:rsidRPr="00D1778F" w:rsidRDefault="00CA3F5F" w:rsidP="00CA3F5F">
      <w:pPr>
        <w:spacing w:line="360" w:lineRule="auto"/>
        <w:rPr>
          <w:rFonts w:cs="Arial"/>
          <w:b/>
          <w:color w:val="000000"/>
          <w:lang w:val="en-GB"/>
        </w:rPr>
      </w:pPr>
      <w:r w:rsidRPr="00D1778F">
        <w:rPr>
          <w:rFonts w:cs="Arial"/>
          <w:b/>
          <w:color w:val="000000"/>
          <w:lang w:val="en-GB"/>
        </w:rPr>
        <w:t>REVISION HISTORY</w:t>
      </w:r>
    </w:p>
    <w:p w14:paraId="7B91829E" w14:textId="77777777" w:rsidR="00CA3F5F" w:rsidRPr="00D1778F" w:rsidRDefault="00CA3F5F" w:rsidP="00CA3F5F">
      <w:pPr>
        <w:spacing w:line="360" w:lineRule="auto"/>
        <w:rPr>
          <w:rFonts w:cs="Arial"/>
          <w:color w:val="000000"/>
          <w:u w:val="single"/>
          <w:lang w:val="en-GB"/>
        </w:rPr>
      </w:pPr>
      <w:r w:rsidRPr="00D1778F">
        <w:rPr>
          <w:rFonts w:cs="Arial"/>
          <w:color w:val="000000"/>
          <w:u w:val="single"/>
          <w:lang w:val="en-GB"/>
        </w:rPr>
        <w:t>Guidance Version (Publish Date)</w:t>
      </w:r>
    </w:p>
    <w:p w14:paraId="56A81043" w14:textId="25E02432" w:rsidR="00C32CF8" w:rsidRPr="006B1AD9" w:rsidRDefault="00CA3F5F" w:rsidP="00D95E92">
      <w:pPr>
        <w:tabs>
          <w:tab w:val="left" w:pos="7501"/>
        </w:tabs>
        <w:rPr>
          <w:rFonts w:cs="Arial"/>
        </w:rPr>
      </w:pPr>
      <w:r w:rsidRPr="00D1778F">
        <w:rPr>
          <w:rFonts w:cs="Arial"/>
          <w:color w:val="000000"/>
          <w:lang w:val="en-GB"/>
        </w:rPr>
        <w:t>TPB-SUB-013-</w:t>
      </w:r>
      <w:r w:rsidR="00C458FF">
        <w:rPr>
          <w:rFonts w:cs="Arial"/>
          <w:color w:val="000000"/>
          <w:lang w:val="en-GB"/>
        </w:rPr>
        <w:t>00</w:t>
      </w:r>
      <w:r w:rsidR="005622C8">
        <w:rPr>
          <w:rFonts w:cs="Arial"/>
          <w:color w:val="000000"/>
          <w:lang w:val="en-GB"/>
        </w:rPr>
        <w:t>4</w:t>
      </w:r>
      <w:r w:rsidRPr="00D1778F">
        <w:rPr>
          <w:rFonts w:cs="Arial"/>
          <w:color w:val="000000"/>
          <w:lang w:val="en-GB"/>
        </w:rPr>
        <w:t xml:space="preserve"> (uploaded </w:t>
      </w:r>
      <w:r w:rsidR="004B4ED2">
        <w:rPr>
          <w:rFonts w:cs="Arial"/>
          <w:color w:val="000000"/>
          <w:lang w:val="en-GB"/>
        </w:rPr>
        <w:t>31</w:t>
      </w:r>
      <w:r w:rsidR="00371F29">
        <w:rPr>
          <w:rFonts w:cs="Arial"/>
          <w:color w:val="000000"/>
          <w:lang w:val="en-GB"/>
        </w:rPr>
        <w:t xml:space="preserve"> </w:t>
      </w:r>
      <w:r w:rsidR="004B4ED2">
        <w:rPr>
          <w:rFonts w:cs="Arial"/>
          <w:color w:val="000000"/>
          <w:lang w:val="en-GB"/>
        </w:rPr>
        <w:t>July</w:t>
      </w:r>
      <w:r w:rsidR="00371F29">
        <w:rPr>
          <w:rFonts w:cs="Arial"/>
          <w:color w:val="000000"/>
          <w:lang w:val="en-GB"/>
        </w:rPr>
        <w:t xml:space="preserve"> 2024</w:t>
      </w:r>
      <w:r w:rsidRPr="00D1778F">
        <w:rPr>
          <w:rFonts w:cs="Arial"/>
          <w:color w:val="000000"/>
          <w:lang w:val="en-GB"/>
        </w:rPr>
        <w:t>)</w:t>
      </w:r>
    </w:p>
    <w:p w14:paraId="13A97A5A" w14:textId="34D64E12" w:rsidR="00830366" w:rsidRPr="00CA3F5F" w:rsidRDefault="00830366" w:rsidP="00CA3F5F">
      <w:pPr>
        <w:tabs>
          <w:tab w:val="left" w:pos="7501"/>
        </w:tabs>
        <w:rPr>
          <w:lang w:val="en-US" w:eastAsia="en-US"/>
        </w:rPr>
      </w:pPr>
    </w:p>
    <w:sectPr w:rsidR="00830366" w:rsidRPr="00CA3F5F" w:rsidSect="00D95E92">
      <w:headerReference w:type="default" r:id="rId10"/>
      <w:footerReference w:type="default" r:id="rId11"/>
      <w:pgSz w:w="11909" w:h="16834" w:code="9"/>
      <w:pgMar w:top="1529" w:right="994" w:bottom="1296" w:left="1440" w:header="426" w:footer="246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DBF5" w14:textId="77777777" w:rsidR="003A14F3" w:rsidRDefault="003A14F3">
      <w:r>
        <w:separator/>
      </w:r>
    </w:p>
  </w:endnote>
  <w:endnote w:type="continuationSeparator" w:id="0">
    <w:p w14:paraId="704038F9" w14:textId="77777777" w:rsidR="003A14F3" w:rsidRDefault="003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31E8" w14:textId="77777777" w:rsidR="00D95E92" w:rsidRPr="003D409F" w:rsidRDefault="00D95E92" w:rsidP="00491DF1">
    <w:pPr>
      <w:pStyle w:val="Footer"/>
      <w:tabs>
        <w:tab w:val="clear" w:pos="4320"/>
        <w:tab w:val="clear" w:pos="8640"/>
      </w:tabs>
      <w:spacing w:after="0"/>
      <w:ind w:right="-79"/>
      <w:rPr>
        <w:rStyle w:val="PageNumber"/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bCs/>
        <w:sz w:val="20"/>
      </w:rPr>
      <w:t xml:space="preserve">HEALTH SCIENCES AUTHORITY – HEALTH PRODUCTS REGULATION </w:t>
    </w:r>
    <w:r w:rsidRPr="00210AC3">
      <w:rPr>
        <w:rFonts w:ascii="Arial Narrow" w:hAnsi="Arial Narrow"/>
        <w:b/>
        <w:bCs/>
        <w:sz w:val="20"/>
      </w:rPr>
      <w:t xml:space="preserve">GROUP   </w:t>
    </w:r>
    <w:r>
      <w:rPr>
        <w:rFonts w:ascii="Arial Narrow" w:hAnsi="Arial Narrow"/>
        <w:b/>
        <w:bCs/>
        <w:sz w:val="20"/>
      </w:rPr>
      <w:t xml:space="preserve">   </w:t>
    </w:r>
    <w:r w:rsidRPr="00210AC3">
      <w:rPr>
        <w:rStyle w:val="PageNumber"/>
        <w:rFonts w:ascii="Arial Narrow" w:hAnsi="Arial Narrow"/>
        <w:b/>
        <w:sz w:val="20"/>
        <w:szCs w:val="20"/>
      </w:rPr>
      <w:t xml:space="preserve">   </w:t>
    </w:r>
    <w:r>
      <w:rPr>
        <w:rStyle w:val="PageNumber"/>
        <w:rFonts w:ascii="Arial Narrow" w:hAnsi="Arial Narrow"/>
        <w:b/>
        <w:sz w:val="20"/>
        <w:szCs w:val="20"/>
      </w:rPr>
      <w:t xml:space="preserve">Appendix 14B - </w:t>
    </w:r>
    <w:r w:rsidRPr="00210AC3">
      <w:rPr>
        <w:rStyle w:val="PageNumber"/>
        <w:rFonts w:ascii="Arial Narrow" w:hAnsi="Arial Narrow"/>
        <w:b/>
        <w:sz w:val="20"/>
        <w:szCs w:val="20"/>
      </w:rPr>
      <w:t xml:space="preserve">Page </w:t>
    </w:r>
    <w:r w:rsidRPr="00210AC3">
      <w:rPr>
        <w:rStyle w:val="PageNumber"/>
        <w:rFonts w:ascii="Arial Narrow" w:hAnsi="Arial Narrow"/>
        <w:b/>
        <w:sz w:val="20"/>
        <w:szCs w:val="20"/>
      </w:rPr>
      <w:fldChar w:fldCharType="begin"/>
    </w:r>
    <w:r w:rsidRPr="00210AC3">
      <w:rPr>
        <w:rStyle w:val="PageNumber"/>
        <w:rFonts w:ascii="Arial Narrow" w:hAnsi="Arial Narrow"/>
        <w:b/>
        <w:sz w:val="20"/>
        <w:szCs w:val="20"/>
      </w:rPr>
      <w:instrText xml:space="preserve"> PAGE </w:instrText>
    </w:r>
    <w:r w:rsidRPr="00210AC3">
      <w:rPr>
        <w:rStyle w:val="PageNumber"/>
        <w:rFonts w:ascii="Arial Narrow" w:hAnsi="Arial Narrow"/>
        <w:b/>
        <w:sz w:val="20"/>
        <w:szCs w:val="20"/>
      </w:rPr>
      <w:fldChar w:fldCharType="separate"/>
    </w:r>
    <w:r>
      <w:rPr>
        <w:rStyle w:val="PageNumber"/>
        <w:rFonts w:ascii="Arial Narrow" w:hAnsi="Arial Narrow"/>
        <w:b/>
        <w:noProof/>
        <w:sz w:val="20"/>
        <w:szCs w:val="20"/>
      </w:rPr>
      <w:t>9</w:t>
    </w:r>
    <w:r w:rsidRPr="00210AC3">
      <w:rPr>
        <w:rStyle w:val="PageNumber"/>
        <w:rFonts w:ascii="Arial Narrow" w:hAnsi="Arial Narrow"/>
        <w:b/>
        <w:sz w:val="20"/>
        <w:szCs w:val="20"/>
      </w:rPr>
      <w:fldChar w:fldCharType="end"/>
    </w:r>
    <w:r w:rsidRPr="00210AC3">
      <w:rPr>
        <w:rStyle w:val="PageNumber"/>
        <w:rFonts w:ascii="Arial Narrow" w:hAnsi="Arial Narrow"/>
        <w:b/>
        <w:sz w:val="20"/>
        <w:szCs w:val="20"/>
      </w:rPr>
      <w:t xml:space="preserve"> of </w:t>
    </w:r>
    <w:r>
      <w:rPr>
        <w:rStyle w:val="PageNumber"/>
        <w:rFonts w:ascii="Arial Narrow" w:hAnsi="Arial Narrow"/>
        <w:b/>
        <w:sz w:val="20"/>
        <w:szCs w:val="20"/>
      </w:rPr>
      <w:t>10</w:t>
    </w:r>
  </w:p>
  <w:p w14:paraId="3D7F728A" w14:textId="77777777" w:rsidR="00D95E92" w:rsidRPr="00A56CA6" w:rsidRDefault="00D95E92" w:rsidP="00491DF1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0098" w14:textId="77777777" w:rsidR="003A14F3" w:rsidRDefault="003A14F3">
      <w:r>
        <w:separator/>
      </w:r>
    </w:p>
  </w:footnote>
  <w:footnote w:type="continuationSeparator" w:id="0">
    <w:p w14:paraId="5632E32F" w14:textId="77777777" w:rsidR="003A14F3" w:rsidRDefault="003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8924" w14:textId="77777777" w:rsidR="00D95E92" w:rsidRPr="00210AC3" w:rsidRDefault="00D95E92" w:rsidP="00955965">
    <w:pPr>
      <w:pStyle w:val="Header"/>
      <w:tabs>
        <w:tab w:val="clear" w:pos="8640"/>
        <w:tab w:val="right" w:pos="9183"/>
      </w:tabs>
      <w:spacing w:after="0" w:line="240" w:lineRule="auto"/>
      <w:rPr>
        <w:rFonts w:ascii="Arial Narrow" w:hAnsi="Arial Narrow"/>
        <w:b/>
      </w:rPr>
    </w:pPr>
    <w:r w:rsidRPr="00210AC3">
      <w:rPr>
        <w:rFonts w:ascii="Arial Narrow" w:hAnsi="Arial Narrow"/>
        <w:b/>
        <w:caps/>
        <w:sz w:val="20"/>
        <w:szCs w:val="20"/>
      </w:rPr>
      <w:t xml:space="preserve">Guidance on </w:t>
    </w:r>
    <w:r>
      <w:rPr>
        <w:rFonts w:ascii="Arial Narrow" w:hAnsi="Arial Narrow"/>
        <w:b/>
        <w:caps/>
        <w:sz w:val="20"/>
        <w:szCs w:val="20"/>
      </w:rPr>
      <w:t>therapeutic</w:t>
    </w:r>
    <w:r w:rsidRPr="00210AC3">
      <w:rPr>
        <w:rFonts w:ascii="Arial Narrow" w:hAnsi="Arial Narrow"/>
        <w:b/>
        <w:caps/>
        <w:sz w:val="20"/>
        <w:szCs w:val="20"/>
      </w:rPr>
      <w:t xml:space="preserve"> Product Registration in Singapore</w:t>
    </w:r>
    <w:r w:rsidRPr="00210AC3">
      <w:rPr>
        <w:rFonts w:ascii="Arial Narrow" w:hAnsi="Arial Narrow"/>
        <w:b/>
        <w:bCs/>
        <w:caps/>
        <w:sz w:val="20"/>
      </w:rPr>
      <w:tab/>
    </w:r>
    <w:r>
      <w:rPr>
        <w:rFonts w:ascii="Arial Narrow" w:hAnsi="Arial Narrow"/>
        <w:b/>
        <w:bCs/>
        <w:caps/>
        <w:sz w:val="20"/>
      </w:rPr>
      <w:t>AUGust 2024</w:t>
    </w:r>
  </w:p>
  <w:p w14:paraId="3E57EF2A" w14:textId="77777777" w:rsidR="00D95E92" w:rsidRDefault="00D95E92" w:rsidP="00955965">
    <w:pPr>
      <w:pStyle w:val="Header"/>
      <w:spacing w:after="0" w:line="240" w:lineRule="auto"/>
    </w:pPr>
    <w:r>
      <w:rPr>
        <w:rFonts w:ascii="Arial Narrow" w:hAnsi="Arial Narrow"/>
        <w:b/>
        <w:bCs/>
        <w:caps/>
        <w:sz w:val="20"/>
      </w:rPr>
      <w:t>– guideline on minor variation applications for biological therapeutic products</w:t>
    </w:r>
  </w:p>
  <w:p w14:paraId="4E7EE3DE" w14:textId="77777777" w:rsidR="00D95E92" w:rsidRPr="005408A2" w:rsidRDefault="00D95E92" w:rsidP="00955965">
    <w:pPr>
      <w:pStyle w:val="ChapterHeading1"/>
      <w:numPr>
        <w:ilvl w:val="0"/>
        <w:numId w:val="0"/>
      </w:numPr>
      <w:spacing w:before="0" w:after="0" w:line="240" w:lineRule="auto"/>
      <w:ind w:left="2127" w:hanging="2127"/>
      <w:contextualSpacing w:val="0"/>
      <w:outlineLvl w:val="1"/>
      <w:rPr>
        <w:rFonts w:ascii="Arial Narrow" w:hAnsi="Arial Narrow"/>
        <w:caps/>
        <w:sz w:val="20"/>
        <w:szCs w:val="22"/>
      </w:rPr>
    </w:pPr>
    <w:r w:rsidRPr="005408A2">
      <w:rPr>
        <w:rFonts w:ascii="Arial Narrow" w:hAnsi="Arial Narrow"/>
        <w:caps/>
        <w:sz w:val="20"/>
        <w:szCs w:val="22"/>
      </w:rPr>
      <w:t>APPENDIX 1</w:t>
    </w:r>
    <w:r>
      <w:rPr>
        <w:rFonts w:ascii="Arial Narrow" w:hAnsi="Arial Narrow"/>
        <w:caps/>
        <w:sz w:val="20"/>
        <w:szCs w:val="22"/>
      </w:rPr>
      <w:t>4B</w:t>
    </w:r>
    <w:r w:rsidRPr="005408A2">
      <w:rPr>
        <w:rFonts w:ascii="Arial Narrow" w:hAnsi="Arial Narrow"/>
        <w:caps/>
        <w:sz w:val="20"/>
        <w:szCs w:val="22"/>
      </w:rPr>
      <w:t xml:space="preserve"> </w:t>
    </w:r>
    <w:r>
      <w:rPr>
        <w:rFonts w:ascii="Arial Narrow" w:hAnsi="Arial Narrow"/>
        <w:caps/>
        <w:sz w:val="20"/>
        <w:szCs w:val="22"/>
      </w:rPr>
      <w:t xml:space="preserve">- </w:t>
    </w:r>
    <w:r w:rsidRPr="005408A2">
      <w:rPr>
        <w:rFonts w:ascii="Arial Narrow" w:hAnsi="Arial Narrow"/>
        <w:caps/>
        <w:sz w:val="20"/>
        <w:szCs w:val="22"/>
      </w:rPr>
      <w:t xml:space="preserve">PART </w:t>
    </w:r>
    <w:r>
      <w:rPr>
        <w:rFonts w:ascii="Arial Narrow" w:hAnsi="Arial Narrow"/>
        <w:caps/>
        <w:sz w:val="20"/>
        <w:szCs w:val="22"/>
      </w:rPr>
      <w:t>B</w:t>
    </w:r>
    <w:r w:rsidRPr="005408A2">
      <w:rPr>
        <w:rFonts w:ascii="Arial Narrow" w:hAnsi="Arial Narrow"/>
        <w:caps/>
        <w:sz w:val="20"/>
        <w:szCs w:val="22"/>
      </w:rPr>
      <w:t>: CHECKLIST ON DOSSIER REQUIREMENTS FOR MIV-</w:t>
    </w:r>
    <w:r>
      <w:rPr>
        <w:rFonts w:ascii="Arial Narrow" w:hAnsi="Arial Narrow"/>
        <w:caps/>
        <w:sz w:val="20"/>
        <w:szCs w:val="22"/>
      </w:rPr>
      <w:t>2 (NOTIFICATION)</w:t>
    </w:r>
    <w:r w:rsidRPr="005408A2">
      <w:rPr>
        <w:rFonts w:ascii="Arial Narrow" w:hAnsi="Arial Narrow"/>
        <w:caps/>
        <w:sz w:val="20"/>
        <w:szCs w:val="22"/>
      </w:rPr>
      <w:t xml:space="preserve"> VARIATION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BA249E0A"/>
    <w:lvl w:ilvl="0">
      <w:start w:val="1"/>
      <w:numFmt w:val="decimal"/>
      <w:pStyle w:val="ListNumber3"/>
      <w:lvlText w:val="%1."/>
      <w:lvlJc w:val="left"/>
      <w:pPr>
        <w:tabs>
          <w:tab w:val="num" w:pos="849"/>
        </w:tabs>
        <w:ind w:left="849" w:hanging="360"/>
      </w:pPr>
    </w:lvl>
  </w:abstractNum>
  <w:abstractNum w:abstractNumId="1" w15:restartNumberingAfterBreak="0">
    <w:nsid w:val="FFFFFF7F"/>
    <w:multiLevelType w:val="singleLevel"/>
    <w:tmpl w:val="3C7EF6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0B8CF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873475"/>
    <w:multiLevelType w:val="hybridMultilevel"/>
    <w:tmpl w:val="056415AA"/>
    <w:lvl w:ilvl="0" w:tplc="73FC0B6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3C45"/>
    <w:multiLevelType w:val="hybridMultilevel"/>
    <w:tmpl w:val="E18C3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24B5F"/>
    <w:multiLevelType w:val="hybridMultilevel"/>
    <w:tmpl w:val="81B44AD8"/>
    <w:lvl w:ilvl="0" w:tplc="4809001B">
      <w:start w:val="1"/>
      <w:numFmt w:val="lowerRoman"/>
      <w:lvlText w:val="%1."/>
      <w:lvlJc w:val="right"/>
      <w:pPr>
        <w:ind w:left="2160" w:hanging="360"/>
      </w:pPr>
    </w:lvl>
    <w:lvl w:ilvl="1" w:tplc="48090019" w:tentative="1">
      <w:start w:val="1"/>
      <w:numFmt w:val="lowerLetter"/>
      <w:lvlText w:val="%2."/>
      <w:lvlJc w:val="left"/>
      <w:pPr>
        <w:ind w:left="1707" w:hanging="360"/>
      </w:pPr>
    </w:lvl>
    <w:lvl w:ilvl="2" w:tplc="4809001B" w:tentative="1">
      <w:start w:val="1"/>
      <w:numFmt w:val="lowerRoman"/>
      <w:lvlText w:val="%3."/>
      <w:lvlJc w:val="right"/>
      <w:pPr>
        <w:ind w:left="2427" w:hanging="180"/>
      </w:pPr>
    </w:lvl>
    <w:lvl w:ilvl="3" w:tplc="4809000F" w:tentative="1">
      <w:start w:val="1"/>
      <w:numFmt w:val="decimal"/>
      <w:lvlText w:val="%4."/>
      <w:lvlJc w:val="left"/>
      <w:pPr>
        <w:ind w:left="3147" w:hanging="360"/>
      </w:pPr>
    </w:lvl>
    <w:lvl w:ilvl="4" w:tplc="48090019" w:tentative="1">
      <w:start w:val="1"/>
      <w:numFmt w:val="lowerLetter"/>
      <w:lvlText w:val="%5."/>
      <w:lvlJc w:val="left"/>
      <w:pPr>
        <w:ind w:left="3867" w:hanging="360"/>
      </w:pPr>
    </w:lvl>
    <w:lvl w:ilvl="5" w:tplc="4809001B" w:tentative="1">
      <w:start w:val="1"/>
      <w:numFmt w:val="lowerRoman"/>
      <w:lvlText w:val="%6."/>
      <w:lvlJc w:val="right"/>
      <w:pPr>
        <w:ind w:left="4587" w:hanging="180"/>
      </w:pPr>
    </w:lvl>
    <w:lvl w:ilvl="6" w:tplc="4809000F" w:tentative="1">
      <w:start w:val="1"/>
      <w:numFmt w:val="decimal"/>
      <w:lvlText w:val="%7."/>
      <w:lvlJc w:val="left"/>
      <w:pPr>
        <w:ind w:left="5307" w:hanging="360"/>
      </w:pPr>
    </w:lvl>
    <w:lvl w:ilvl="7" w:tplc="48090019" w:tentative="1">
      <w:start w:val="1"/>
      <w:numFmt w:val="lowerLetter"/>
      <w:lvlText w:val="%8."/>
      <w:lvlJc w:val="left"/>
      <w:pPr>
        <w:ind w:left="6027" w:hanging="360"/>
      </w:pPr>
    </w:lvl>
    <w:lvl w:ilvl="8" w:tplc="4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135E2836"/>
    <w:multiLevelType w:val="hybridMultilevel"/>
    <w:tmpl w:val="D494AC36"/>
    <w:lvl w:ilvl="0" w:tplc="3A3205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5DF1"/>
    <w:multiLevelType w:val="hybridMultilevel"/>
    <w:tmpl w:val="56822A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5457"/>
    <w:multiLevelType w:val="hybridMultilevel"/>
    <w:tmpl w:val="A430699A"/>
    <w:lvl w:ilvl="0" w:tplc="AA14413C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C1F11"/>
    <w:multiLevelType w:val="hybridMultilevel"/>
    <w:tmpl w:val="10329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F7058"/>
    <w:multiLevelType w:val="hybridMultilevel"/>
    <w:tmpl w:val="825A2948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26F1"/>
    <w:multiLevelType w:val="hybridMultilevel"/>
    <w:tmpl w:val="65E689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  <w:szCs w:val="20"/>
      </w:rPr>
    </w:lvl>
    <w:lvl w:ilvl="1" w:tplc="4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A1C29"/>
    <w:multiLevelType w:val="hybridMultilevel"/>
    <w:tmpl w:val="C1A6A6C6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545F8"/>
    <w:multiLevelType w:val="hybridMultilevel"/>
    <w:tmpl w:val="DF2C1F8A"/>
    <w:lvl w:ilvl="0" w:tplc="4809001B">
      <w:start w:val="1"/>
      <w:numFmt w:val="lowerRoman"/>
      <w:lvlText w:val="%1."/>
      <w:lvlJc w:val="right"/>
      <w:pPr>
        <w:ind w:left="2613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55056"/>
    <w:multiLevelType w:val="hybridMultilevel"/>
    <w:tmpl w:val="EA36D654"/>
    <w:lvl w:ilvl="0" w:tplc="08090017">
      <w:start w:val="1"/>
      <w:numFmt w:val="lowerLetter"/>
      <w:lvlText w:val="%1)"/>
      <w:lvlJc w:val="left"/>
      <w:pPr>
        <w:ind w:left="1038" w:hanging="360"/>
      </w:pPr>
    </w:lvl>
    <w:lvl w:ilvl="1" w:tplc="DAFA246E">
      <w:start w:val="1"/>
      <w:numFmt w:val="lowerRoman"/>
      <w:lvlText w:val="%2."/>
      <w:lvlJc w:val="left"/>
      <w:pPr>
        <w:ind w:left="2118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2F824759"/>
    <w:multiLevelType w:val="hybridMultilevel"/>
    <w:tmpl w:val="D046B168"/>
    <w:lvl w:ilvl="0" w:tplc="4809001B">
      <w:start w:val="1"/>
      <w:numFmt w:val="lowerRoman"/>
      <w:lvlText w:val="%1."/>
      <w:lvlJc w:val="right"/>
      <w:pPr>
        <w:ind w:left="1893" w:hanging="360"/>
      </w:pPr>
    </w:lvl>
    <w:lvl w:ilvl="1" w:tplc="48090019" w:tentative="1">
      <w:start w:val="1"/>
      <w:numFmt w:val="lowerLetter"/>
      <w:lvlText w:val="%2."/>
      <w:lvlJc w:val="left"/>
      <w:pPr>
        <w:ind w:left="2613" w:hanging="360"/>
      </w:pPr>
    </w:lvl>
    <w:lvl w:ilvl="2" w:tplc="4809001B" w:tentative="1">
      <w:start w:val="1"/>
      <w:numFmt w:val="lowerRoman"/>
      <w:lvlText w:val="%3."/>
      <w:lvlJc w:val="right"/>
      <w:pPr>
        <w:ind w:left="3333" w:hanging="180"/>
      </w:pPr>
    </w:lvl>
    <w:lvl w:ilvl="3" w:tplc="4809000F" w:tentative="1">
      <w:start w:val="1"/>
      <w:numFmt w:val="decimal"/>
      <w:lvlText w:val="%4."/>
      <w:lvlJc w:val="left"/>
      <w:pPr>
        <w:ind w:left="4053" w:hanging="360"/>
      </w:pPr>
    </w:lvl>
    <w:lvl w:ilvl="4" w:tplc="48090019" w:tentative="1">
      <w:start w:val="1"/>
      <w:numFmt w:val="lowerLetter"/>
      <w:lvlText w:val="%5."/>
      <w:lvlJc w:val="left"/>
      <w:pPr>
        <w:ind w:left="4773" w:hanging="360"/>
      </w:pPr>
    </w:lvl>
    <w:lvl w:ilvl="5" w:tplc="4809001B" w:tentative="1">
      <w:start w:val="1"/>
      <w:numFmt w:val="lowerRoman"/>
      <w:lvlText w:val="%6."/>
      <w:lvlJc w:val="right"/>
      <w:pPr>
        <w:ind w:left="5493" w:hanging="180"/>
      </w:pPr>
    </w:lvl>
    <w:lvl w:ilvl="6" w:tplc="4809000F" w:tentative="1">
      <w:start w:val="1"/>
      <w:numFmt w:val="decimal"/>
      <w:lvlText w:val="%7."/>
      <w:lvlJc w:val="left"/>
      <w:pPr>
        <w:ind w:left="6213" w:hanging="360"/>
      </w:pPr>
    </w:lvl>
    <w:lvl w:ilvl="7" w:tplc="48090019" w:tentative="1">
      <w:start w:val="1"/>
      <w:numFmt w:val="lowerLetter"/>
      <w:lvlText w:val="%8."/>
      <w:lvlJc w:val="left"/>
      <w:pPr>
        <w:ind w:left="6933" w:hanging="360"/>
      </w:pPr>
    </w:lvl>
    <w:lvl w:ilvl="8" w:tplc="48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16" w15:restartNumberingAfterBreak="0">
    <w:nsid w:val="31E01424"/>
    <w:multiLevelType w:val="hybridMultilevel"/>
    <w:tmpl w:val="EE247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5827"/>
    <w:multiLevelType w:val="hybridMultilevel"/>
    <w:tmpl w:val="9D62231A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A165E"/>
    <w:multiLevelType w:val="hybridMultilevel"/>
    <w:tmpl w:val="EA36D654"/>
    <w:lvl w:ilvl="0" w:tplc="08090017">
      <w:start w:val="1"/>
      <w:numFmt w:val="lowerLetter"/>
      <w:lvlText w:val="%1)"/>
      <w:lvlJc w:val="left"/>
      <w:pPr>
        <w:ind w:left="1038" w:hanging="360"/>
      </w:pPr>
    </w:lvl>
    <w:lvl w:ilvl="1" w:tplc="DAFA246E">
      <w:start w:val="1"/>
      <w:numFmt w:val="lowerRoman"/>
      <w:lvlText w:val="%2."/>
      <w:lvlJc w:val="left"/>
      <w:pPr>
        <w:ind w:left="2118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6924C9A"/>
    <w:multiLevelType w:val="multilevel"/>
    <w:tmpl w:val="C27E08D4"/>
    <w:lvl w:ilvl="0">
      <w:start w:val="1"/>
      <w:numFmt w:val="decimal"/>
      <w:pStyle w:val="Chapter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hapter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Chapter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82F1958"/>
    <w:multiLevelType w:val="hybridMultilevel"/>
    <w:tmpl w:val="F6D292D0"/>
    <w:lvl w:ilvl="0" w:tplc="521C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858E5"/>
    <w:multiLevelType w:val="hybridMultilevel"/>
    <w:tmpl w:val="404E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3072A"/>
    <w:multiLevelType w:val="hybridMultilevel"/>
    <w:tmpl w:val="DE3894D0"/>
    <w:lvl w:ilvl="0" w:tplc="71C06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12241"/>
    <w:multiLevelType w:val="hybridMultilevel"/>
    <w:tmpl w:val="75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50BEB"/>
    <w:multiLevelType w:val="hybridMultilevel"/>
    <w:tmpl w:val="C0784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B5675"/>
    <w:multiLevelType w:val="hybridMultilevel"/>
    <w:tmpl w:val="661CC7F6"/>
    <w:lvl w:ilvl="0" w:tplc="B6B4A37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25C47"/>
    <w:multiLevelType w:val="hybridMultilevel"/>
    <w:tmpl w:val="EA36D654"/>
    <w:lvl w:ilvl="0" w:tplc="08090017">
      <w:start w:val="1"/>
      <w:numFmt w:val="lowerLetter"/>
      <w:lvlText w:val="%1)"/>
      <w:lvlJc w:val="left"/>
      <w:pPr>
        <w:ind w:left="1038" w:hanging="360"/>
      </w:pPr>
    </w:lvl>
    <w:lvl w:ilvl="1" w:tplc="DAFA246E">
      <w:start w:val="1"/>
      <w:numFmt w:val="lowerRoman"/>
      <w:lvlText w:val="%2."/>
      <w:lvlJc w:val="left"/>
      <w:pPr>
        <w:ind w:left="2118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40997B45"/>
    <w:multiLevelType w:val="hybridMultilevel"/>
    <w:tmpl w:val="C5282C76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536AC"/>
    <w:multiLevelType w:val="hybridMultilevel"/>
    <w:tmpl w:val="A27AA626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1A0488"/>
    <w:multiLevelType w:val="hybridMultilevel"/>
    <w:tmpl w:val="E8C0D274"/>
    <w:lvl w:ilvl="0" w:tplc="4DE83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5417F8"/>
    <w:multiLevelType w:val="hybridMultilevel"/>
    <w:tmpl w:val="1526AC48"/>
    <w:lvl w:ilvl="0" w:tplc="37401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73B89"/>
    <w:multiLevelType w:val="hybridMultilevel"/>
    <w:tmpl w:val="8CC29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73B25"/>
    <w:multiLevelType w:val="hybridMultilevel"/>
    <w:tmpl w:val="5AAE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7173A"/>
    <w:multiLevelType w:val="hybridMultilevel"/>
    <w:tmpl w:val="75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935E9"/>
    <w:multiLevelType w:val="hybridMultilevel"/>
    <w:tmpl w:val="B304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74129"/>
    <w:multiLevelType w:val="hybridMultilevel"/>
    <w:tmpl w:val="0AA6EA4A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276CB7"/>
    <w:multiLevelType w:val="hybridMultilevel"/>
    <w:tmpl w:val="EE247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C46D1"/>
    <w:multiLevelType w:val="hybridMultilevel"/>
    <w:tmpl w:val="3250ABF0"/>
    <w:lvl w:ilvl="0" w:tplc="9BD4BC3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C5F41"/>
    <w:multiLevelType w:val="hybridMultilevel"/>
    <w:tmpl w:val="2600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B6AB8"/>
    <w:multiLevelType w:val="hybridMultilevel"/>
    <w:tmpl w:val="05F62E00"/>
    <w:lvl w:ilvl="0" w:tplc="6C741B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2BD3D13"/>
    <w:multiLevelType w:val="hybridMultilevel"/>
    <w:tmpl w:val="4358F1FE"/>
    <w:lvl w:ilvl="0" w:tplc="521C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37523C"/>
    <w:multiLevelType w:val="hybridMultilevel"/>
    <w:tmpl w:val="FEE2B606"/>
    <w:lvl w:ilvl="0" w:tplc="7ECA8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1603B"/>
    <w:multiLevelType w:val="hybridMultilevel"/>
    <w:tmpl w:val="773244E6"/>
    <w:lvl w:ilvl="0" w:tplc="9586A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D0CEE"/>
    <w:multiLevelType w:val="hybridMultilevel"/>
    <w:tmpl w:val="7D28E49E"/>
    <w:lvl w:ilvl="0" w:tplc="6C741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374F0"/>
    <w:multiLevelType w:val="hybridMultilevel"/>
    <w:tmpl w:val="9AAA1384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F6105F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139E"/>
    <w:multiLevelType w:val="hybridMultilevel"/>
    <w:tmpl w:val="8C726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479BF"/>
    <w:multiLevelType w:val="hybridMultilevel"/>
    <w:tmpl w:val="49AA8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B865FE8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57701F"/>
    <w:multiLevelType w:val="multilevel"/>
    <w:tmpl w:val="C90EA160"/>
    <w:lvl w:ilvl="0">
      <w:start w:val="1"/>
      <w:numFmt w:val="upperLetter"/>
      <w:lvlText w:val="PART %1"/>
      <w:lvlJc w:val="left"/>
      <w:pPr>
        <w:tabs>
          <w:tab w:val="num" w:pos="720"/>
        </w:tabs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B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C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9110754">
    <w:abstractNumId w:val="47"/>
  </w:num>
  <w:num w:numId="2" w16cid:durableId="185289848">
    <w:abstractNumId w:val="41"/>
  </w:num>
  <w:num w:numId="3" w16cid:durableId="1761949494">
    <w:abstractNumId w:val="40"/>
  </w:num>
  <w:num w:numId="4" w16cid:durableId="583612014">
    <w:abstractNumId w:val="29"/>
  </w:num>
  <w:num w:numId="5" w16cid:durableId="2129350112">
    <w:abstractNumId w:val="28"/>
  </w:num>
  <w:num w:numId="6" w16cid:durableId="331683536">
    <w:abstractNumId w:val="17"/>
  </w:num>
  <w:num w:numId="7" w16cid:durableId="1057513926">
    <w:abstractNumId w:val="35"/>
  </w:num>
  <w:num w:numId="8" w16cid:durableId="326441026">
    <w:abstractNumId w:val="12"/>
  </w:num>
  <w:num w:numId="9" w16cid:durableId="1040858831">
    <w:abstractNumId w:val="27"/>
  </w:num>
  <w:num w:numId="10" w16cid:durableId="1189413128">
    <w:abstractNumId w:val="10"/>
  </w:num>
  <w:num w:numId="11" w16cid:durableId="424152887">
    <w:abstractNumId w:val="42"/>
  </w:num>
  <w:num w:numId="12" w16cid:durableId="864906548">
    <w:abstractNumId w:val="4"/>
  </w:num>
  <w:num w:numId="13" w16cid:durableId="1089421456">
    <w:abstractNumId w:val="38"/>
  </w:num>
  <w:num w:numId="14" w16cid:durableId="2093771407">
    <w:abstractNumId w:val="32"/>
  </w:num>
  <w:num w:numId="15" w16cid:durableId="2060665489">
    <w:abstractNumId w:val="34"/>
  </w:num>
  <w:num w:numId="16" w16cid:durableId="123274204">
    <w:abstractNumId w:val="37"/>
  </w:num>
  <w:num w:numId="17" w16cid:durableId="458770027">
    <w:abstractNumId w:val="3"/>
  </w:num>
  <w:num w:numId="18" w16cid:durableId="2062973523">
    <w:abstractNumId w:val="25"/>
  </w:num>
  <w:num w:numId="19" w16cid:durableId="12069117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5574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0991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0720604">
    <w:abstractNumId w:val="46"/>
  </w:num>
  <w:num w:numId="23" w16cid:durableId="1380670901">
    <w:abstractNumId w:val="39"/>
  </w:num>
  <w:num w:numId="24" w16cid:durableId="1007295588">
    <w:abstractNumId w:val="43"/>
  </w:num>
  <w:num w:numId="25" w16cid:durableId="134763683">
    <w:abstractNumId w:val="30"/>
  </w:num>
  <w:num w:numId="26" w16cid:durableId="1255360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5080275">
    <w:abstractNumId w:val="8"/>
  </w:num>
  <w:num w:numId="28" w16cid:durableId="1710109901">
    <w:abstractNumId w:val="9"/>
  </w:num>
  <w:num w:numId="29" w16cid:durableId="818351854">
    <w:abstractNumId w:val="45"/>
  </w:num>
  <w:num w:numId="30" w16cid:durableId="857424601">
    <w:abstractNumId w:val="31"/>
  </w:num>
  <w:num w:numId="31" w16cid:durableId="270280742">
    <w:abstractNumId w:val="33"/>
  </w:num>
  <w:num w:numId="32" w16cid:durableId="1681815603">
    <w:abstractNumId w:val="23"/>
  </w:num>
  <w:num w:numId="33" w16cid:durableId="1659455080">
    <w:abstractNumId w:val="7"/>
  </w:num>
  <w:num w:numId="34" w16cid:durableId="859468335">
    <w:abstractNumId w:val="2"/>
  </w:num>
  <w:num w:numId="35" w16cid:durableId="621156774">
    <w:abstractNumId w:val="1"/>
  </w:num>
  <w:num w:numId="36" w16cid:durableId="1152520672">
    <w:abstractNumId w:val="0"/>
  </w:num>
  <w:num w:numId="37" w16cid:durableId="48774017">
    <w:abstractNumId w:val="19"/>
  </w:num>
  <w:num w:numId="38" w16cid:durableId="1826697768">
    <w:abstractNumId w:val="14"/>
  </w:num>
  <w:num w:numId="39" w16cid:durableId="1144084442">
    <w:abstractNumId w:val="15"/>
  </w:num>
  <w:num w:numId="40" w16cid:durableId="1487285238">
    <w:abstractNumId w:val="6"/>
  </w:num>
  <w:num w:numId="41" w16cid:durableId="1064572658">
    <w:abstractNumId w:val="26"/>
  </w:num>
  <w:num w:numId="42" w16cid:durableId="595985167">
    <w:abstractNumId w:val="13"/>
  </w:num>
  <w:num w:numId="43" w16cid:durableId="853107564">
    <w:abstractNumId w:val="18"/>
  </w:num>
  <w:num w:numId="44" w16cid:durableId="2087998074">
    <w:abstractNumId w:val="5"/>
  </w:num>
  <w:num w:numId="45" w16cid:durableId="1291131860">
    <w:abstractNumId w:val="24"/>
  </w:num>
  <w:num w:numId="46" w16cid:durableId="399061254">
    <w:abstractNumId w:val="44"/>
  </w:num>
  <w:num w:numId="47" w16cid:durableId="1823156908">
    <w:abstractNumId w:val="21"/>
  </w:num>
  <w:num w:numId="48" w16cid:durableId="417603336">
    <w:abstractNumId w:val="11"/>
  </w:num>
  <w:num w:numId="49" w16cid:durableId="820778031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D0"/>
    <w:rsid w:val="0000753C"/>
    <w:rsid w:val="00014B49"/>
    <w:rsid w:val="000150B9"/>
    <w:rsid w:val="00020BB6"/>
    <w:rsid w:val="00021A46"/>
    <w:rsid w:val="0002586E"/>
    <w:rsid w:val="00025DBB"/>
    <w:rsid w:val="00026DF6"/>
    <w:rsid w:val="00027A09"/>
    <w:rsid w:val="00031CEF"/>
    <w:rsid w:val="00034A50"/>
    <w:rsid w:val="00035813"/>
    <w:rsid w:val="00036C55"/>
    <w:rsid w:val="00037078"/>
    <w:rsid w:val="000372FD"/>
    <w:rsid w:val="00037BF7"/>
    <w:rsid w:val="00037F76"/>
    <w:rsid w:val="00042C62"/>
    <w:rsid w:val="000434F9"/>
    <w:rsid w:val="00054031"/>
    <w:rsid w:val="00054F26"/>
    <w:rsid w:val="00056E74"/>
    <w:rsid w:val="00065613"/>
    <w:rsid w:val="00065635"/>
    <w:rsid w:val="00071CAF"/>
    <w:rsid w:val="0007374F"/>
    <w:rsid w:val="00073C60"/>
    <w:rsid w:val="0007680D"/>
    <w:rsid w:val="0008229A"/>
    <w:rsid w:val="000864A4"/>
    <w:rsid w:val="0008669C"/>
    <w:rsid w:val="0008739F"/>
    <w:rsid w:val="00091F03"/>
    <w:rsid w:val="000940AA"/>
    <w:rsid w:val="000949E0"/>
    <w:rsid w:val="00097D71"/>
    <w:rsid w:val="000A12C1"/>
    <w:rsid w:val="000A7BA8"/>
    <w:rsid w:val="000B4812"/>
    <w:rsid w:val="000B4BDF"/>
    <w:rsid w:val="000B71DE"/>
    <w:rsid w:val="000C099F"/>
    <w:rsid w:val="000C2747"/>
    <w:rsid w:val="000C2FFB"/>
    <w:rsid w:val="000C3B36"/>
    <w:rsid w:val="000C4727"/>
    <w:rsid w:val="000C63F7"/>
    <w:rsid w:val="000C740B"/>
    <w:rsid w:val="000D4D1E"/>
    <w:rsid w:val="000E18D0"/>
    <w:rsid w:val="000E38DD"/>
    <w:rsid w:val="000E73AB"/>
    <w:rsid w:val="000E74B7"/>
    <w:rsid w:val="000F1EC5"/>
    <w:rsid w:val="000F4F10"/>
    <w:rsid w:val="000F6521"/>
    <w:rsid w:val="000F72DF"/>
    <w:rsid w:val="000F7E27"/>
    <w:rsid w:val="00100876"/>
    <w:rsid w:val="00103FFC"/>
    <w:rsid w:val="00110351"/>
    <w:rsid w:val="001206E0"/>
    <w:rsid w:val="00121954"/>
    <w:rsid w:val="0012710B"/>
    <w:rsid w:val="00127587"/>
    <w:rsid w:val="00127B5A"/>
    <w:rsid w:val="00127D87"/>
    <w:rsid w:val="0013242B"/>
    <w:rsid w:val="001409A6"/>
    <w:rsid w:val="00141849"/>
    <w:rsid w:val="00141FC7"/>
    <w:rsid w:val="00143F68"/>
    <w:rsid w:val="00152833"/>
    <w:rsid w:val="00152CD9"/>
    <w:rsid w:val="00160D90"/>
    <w:rsid w:val="00163DA3"/>
    <w:rsid w:val="0016750F"/>
    <w:rsid w:val="00167CCD"/>
    <w:rsid w:val="00171A74"/>
    <w:rsid w:val="00171B6F"/>
    <w:rsid w:val="0017356A"/>
    <w:rsid w:val="00174668"/>
    <w:rsid w:val="00177364"/>
    <w:rsid w:val="001804FD"/>
    <w:rsid w:val="00181CC8"/>
    <w:rsid w:val="00183085"/>
    <w:rsid w:val="00183A71"/>
    <w:rsid w:val="001846F9"/>
    <w:rsid w:val="00186DF7"/>
    <w:rsid w:val="00190031"/>
    <w:rsid w:val="00190BB8"/>
    <w:rsid w:val="00192815"/>
    <w:rsid w:val="00197523"/>
    <w:rsid w:val="00197CA6"/>
    <w:rsid w:val="001A148F"/>
    <w:rsid w:val="001A2A27"/>
    <w:rsid w:val="001A2FEB"/>
    <w:rsid w:val="001A3ECC"/>
    <w:rsid w:val="001A4E79"/>
    <w:rsid w:val="001B4020"/>
    <w:rsid w:val="001B6AFC"/>
    <w:rsid w:val="001B769E"/>
    <w:rsid w:val="001C3E24"/>
    <w:rsid w:val="001C4216"/>
    <w:rsid w:val="001C732A"/>
    <w:rsid w:val="001C773C"/>
    <w:rsid w:val="001C7F72"/>
    <w:rsid w:val="001D08F6"/>
    <w:rsid w:val="001D142A"/>
    <w:rsid w:val="001D5FEE"/>
    <w:rsid w:val="001E3155"/>
    <w:rsid w:val="001E3B36"/>
    <w:rsid w:val="001E4339"/>
    <w:rsid w:val="001E46D6"/>
    <w:rsid w:val="001E7DFA"/>
    <w:rsid w:val="001F2A34"/>
    <w:rsid w:val="001F4105"/>
    <w:rsid w:val="001F5025"/>
    <w:rsid w:val="001F6330"/>
    <w:rsid w:val="001F7018"/>
    <w:rsid w:val="0020089B"/>
    <w:rsid w:val="00202019"/>
    <w:rsid w:val="00202FF6"/>
    <w:rsid w:val="002036AF"/>
    <w:rsid w:val="00206378"/>
    <w:rsid w:val="0020782D"/>
    <w:rsid w:val="00207DAE"/>
    <w:rsid w:val="00215CA8"/>
    <w:rsid w:val="00216A2C"/>
    <w:rsid w:val="00220E7A"/>
    <w:rsid w:val="0022323C"/>
    <w:rsid w:val="002238B9"/>
    <w:rsid w:val="00225F8C"/>
    <w:rsid w:val="00230E54"/>
    <w:rsid w:val="00232FA2"/>
    <w:rsid w:val="0023313E"/>
    <w:rsid w:val="0023578A"/>
    <w:rsid w:val="00235CF8"/>
    <w:rsid w:val="0023670A"/>
    <w:rsid w:val="0024339E"/>
    <w:rsid w:val="00245FF1"/>
    <w:rsid w:val="00246961"/>
    <w:rsid w:val="00252487"/>
    <w:rsid w:val="00254ABA"/>
    <w:rsid w:val="00254AE3"/>
    <w:rsid w:val="00261BEA"/>
    <w:rsid w:val="00262DD5"/>
    <w:rsid w:val="00263AB9"/>
    <w:rsid w:val="00264007"/>
    <w:rsid w:val="00266F91"/>
    <w:rsid w:val="00267520"/>
    <w:rsid w:val="0026780C"/>
    <w:rsid w:val="00271704"/>
    <w:rsid w:val="0027295A"/>
    <w:rsid w:val="00275D82"/>
    <w:rsid w:val="00281A4F"/>
    <w:rsid w:val="002836A7"/>
    <w:rsid w:val="00290A68"/>
    <w:rsid w:val="00291EC6"/>
    <w:rsid w:val="00292CCE"/>
    <w:rsid w:val="00297F68"/>
    <w:rsid w:val="00297FCE"/>
    <w:rsid w:val="002A54A1"/>
    <w:rsid w:val="002A7E2B"/>
    <w:rsid w:val="002C070E"/>
    <w:rsid w:val="002C089C"/>
    <w:rsid w:val="002C1115"/>
    <w:rsid w:val="002C2622"/>
    <w:rsid w:val="002C32C1"/>
    <w:rsid w:val="002C5491"/>
    <w:rsid w:val="002D439C"/>
    <w:rsid w:val="002D5095"/>
    <w:rsid w:val="002D679D"/>
    <w:rsid w:val="002D6889"/>
    <w:rsid w:val="002D754F"/>
    <w:rsid w:val="002D7BBB"/>
    <w:rsid w:val="002E0ACD"/>
    <w:rsid w:val="002E1D12"/>
    <w:rsid w:val="002E2B96"/>
    <w:rsid w:val="002E36F4"/>
    <w:rsid w:val="002E428C"/>
    <w:rsid w:val="002E4F7C"/>
    <w:rsid w:val="002E5919"/>
    <w:rsid w:val="002E5A71"/>
    <w:rsid w:val="002F1A74"/>
    <w:rsid w:val="002F284F"/>
    <w:rsid w:val="002F6CC8"/>
    <w:rsid w:val="003008FC"/>
    <w:rsid w:val="0030119A"/>
    <w:rsid w:val="003018D6"/>
    <w:rsid w:val="00302EBC"/>
    <w:rsid w:val="00303DFF"/>
    <w:rsid w:val="00316959"/>
    <w:rsid w:val="00317D2C"/>
    <w:rsid w:val="00320D48"/>
    <w:rsid w:val="00323936"/>
    <w:rsid w:val="00323CA4"/>
    <w:rsid w:val="00326E87"/>
    <w:rsid w:val="00330CE1"/>
    <w:rsid w:val="00332004"/>
    <w:rsid w:val="00332192"/>
    <w:rsid w:val="0033387F"/>
    <w:rsid w:val="00335B69"/>
    <w:rsid w:val="00340AEB"/>
    <w:rsid w:val="003545A8"/>
    <w:rsid w:val="003547A1"/>
    <w:rsid w:val="00357BFD"/>
    <w:rsid w:val="00361F04"/>
    <w:rsid w:val="0036306C"/>
    <w:rsid w:val="00363BE7"/>
    <w:rsid w:val="00364B57"/>
    <w:rsid w:val="003670FA"/>
    <w:rsid w:val="0036728D"/>
    <w:rsid w:val="00367E71"/>
    <w:rsid w:val="00367E8F"/>
    <w:rsid w:val="00371F29"/>
    <w:rsid w:val="00372ADB"/>
    <w:rsid w:val="00373B75"/>
    <w:rsid w:val="00380048"/>
    <w:rsid w:val="003804CB"/>
    <w:rsid w:val="00381DD1"/>
    <w:rsid w:val="003825EB"/>
    <w:rsid w:val="003843EB"/>
    <w:rsid w:val="00386154"/>
    <w:rsid w:val="00391331"/>
    <w:rsid w:val="003928D3"/>
    <w:rsid w:val="0039435A"/>
    <w:rsid w:val="00396C95"/>
    <w:rsid w:val="00397C36"/>
    <w:rsid w:val="003A14F3"/>
    <w:rsid w:val="003A5564"/>
    <w:rsid w:val="003B10E9"/>
    <w:rsid w:val="003B5425"/>
    <w:rsid w:val="003B557B"/>
    <w:rsid w:val="003C04A3"/>
    <w:rsid w:val="003C158E"/>
    <w:rsid w:val="003C42A5"/>
    <w:rsid w:val="003C7DD0"/>
    <w:rsid w:val="003D02D2"/>
    <w:rsid w:val="003D23EF"/>
    <w:rsid w:val="003D5B3D"/>
    <w:rsid w:val="003D6C2C"/>
    <w:rsid w:val="003E0A19"/>
    <w:rsid w:val="003E2416"/>
    <w:rsid w:val="003E25C7"/>
    <w:rsid w:val="003E3635"/>
    <w:rsid w:val="003E74B8"/>
    <w:rsid w:val="003F7D5C"/>
    <w:rsid w:val="004014D8"/>
    <w:rsid w:val="00401F10"/>
    <w:rsid w:val="0041107D"/>
    <w:rsid w:val="00412AC8"/>
    <w:rsid w:val="00414131"/>
    <w:rsid w:val="00414711"/>
    <w:rsid w:val="0041485A"/>
    <w:rsid w:val="004178F1"/>
    <w:rsid w:val="0042175C"/>
    <w:rsid w:val="00421B36"/>
    <w:rsid w:val="00423B11"/>
    <w:rsid w:val="00423D70"/>
    <w:rsid w:val="004320D2"/>
    <w:rsid w:val="00433356"/>
    <w:rsid w:val="00435A36"/>
    <w:rsid w:val="004371DF"/>
    <w:rsid w:val="00442F58"/>
    <w:rsid w:val="004447DC"/>
    <w:rsid w:val="00447D73"/>
    <w:rsid w:val="00452707"/>
    <w:rsid w:val="00454ACE"/>
    <w:rsid w:val="0046009E"/>
    <w:rsid w:val="0046036E"/>
    <w:rsid w:val="00460E81"/>
    <w:rsid w:val="00461055"/>
    <w:rsid w:val="004617AD"/>
    <w:rsid w:val="00462618"/>
    <w:rsid w:val="00462F56"/>
    <w:rsid w:val="0046323C"/>
    <w:rsid w:val="0047065D"/>
    <w:rsid w:val="0047140A"/>
    <w:rsid w:val="00472997"/>
    <w:rsid w:val="004750DD"/>
    <w:rsid w:val="00475136"/>
    <w:rsid w:val="00481829"/>
    <w:rsid w:val="00481DC4"/>
    <w:rsid w:val="0048263C"/>
    <w:rsid w:val="00482F03"/>
    <w:rsid w:val="004832EB"/>
    <w:rsid w:val="00485AB9"/>
    <w:rsid w:val="004867CF"/>
    <w:rsid w:val="00490AC1"/>
    <w:rsid w:val="0049122C"/>
    <w:rsid w:val="00491DF1"/>
    <w:rsid w:val="00492ADC"/>
    <w:rsid w:val="00496B50"/>
    <w:rsid w:val="00497CD0"/>
    <w:rsid w:val="004A09A3"/>
    <w:rsid w:val="004A1031"/>
    <w:rsid w:val="004A2A44"/>
    <w:rsid w:val="004A414C"/>
    <w:rsid w:val="004A506C"/>
    <w:rsid w:val="004A6924"/>
    <w:rsid w:val="004B0B6E"/>
    <w:rsid w:val="004B1AF0"/>
    <w:rsid w:val="004B1DC2"/>
    <w:rsid w:val="004B2186"/>
    <w:rsid w:val="004B4ED2"/>
    <w:rsid w:val="004B55F6"/>
    <w:rsid w:val="004B5F85"/>
    <w:rsid w:val="004B7D76"/>
    <w:rsid w:val="004C1371"/>
    <w:rsid w:val="004C6FF4"/>
    <w:rsid w:val="004D1D07"/>
    <w:rsid w:val="004D32FC"/>
    <w:rsid w:val="004D3585"/>
    <w:rsid w:val="004D3BB2"/>
    <w:rsid w:val="004D5E88"/>
    <w:rsid w:val="004E6153"/>
    <w:rsid w:val="004E79D3"/>
    <w:rsid w:val="004F1EEF"/>
    <w:rsid w:val="004F2EB4"/>
    <w:rsid w:val="004F3F2A"/>
    <w:rsid w:val="00500FAD"/>
    <w:rsid w:val="005039BE"/>
    <w:rsid w:val="005113A4"/>
    <w:rsid w:val="0051251E"/>
    <w:rsid w:val="005146CA"/>
    <w:rsid w:val="00514954"/>
    <w:rsid w:val="00516558"/>
    <w:rsid w:val="00516F16"/>
    <w:rsid w:val="00522A1F"/>
    <w:rsid w:val="00523C00"/>
    <w:rsid w:val="005243FF"/>
    <w:rsid w:val="005248A6"/>
    <w:rsid w:val="00525958"/>
    <w:rsid w:val="005269FD"/>
    <w:rsid w:val="00530419"/>
    <w:rsid w:val="00533B30"/>
    <w:rsid w:val="0053437B"/>
    <w:rsid w:val="00534984"/>
    <w:rsid w:val="00534B32"/>
    <w:rsid w:val="00535BEB"/>
    <w:rsid w:val="00537903"/>
    <w:rsid w:val="00540BE3"/>
    <w:rsid w:val="0054191F"/>
    <w:rsid w:val="0054362B"/>
    <w:rsid w:val="00543A08"/>
    <w:rsid w:val="005468EA"/>
    <w:rsid w:val="0055089D"/>
    <w:rsid w:val="005521EA"/>
    <w:rsid w:val="00554CE7"/>
    <w:rsid w:val="0056004F"/>
    <w:rsid w:val="00561B11"/>
    <w:rsid w:val="005622C8"/>
    <w:rsid w:val="00565215"/>
    <w:rsid w:val="0056747D"/>
    <w:rsid w:val="0057027E"/>
    <w:rsid w:val="0057124C"/>
    <w:rsid w:val="00575F4B"/>
    <w:rsid w:val="0058372A"/>
    <w:rsid w:val="0058392B"/>
    <w:rsid w:val="00585F50"/>
    <w:rsid w:val="0059548C"/>
    <w:rsid w:val="00597223"/>
    <w:rsid w:val="005A0EB9"/>
    <w:rsid w:val="005A53C9"/>
    <w:rsid w:val="005A6656"/>
    <w:rsid w:val="005B2246"/>
    <w:rsid w:val="005B2625"/>
    <w:rsid w:val="005C110F"/>
    <w:rsid w:val="005C11FD"/>
    <w:rsid w:val="005C2C7F"/>
    <w:rsid w:val="005C3879"/>
    <w:rsid w:val="005C3D0A"/>
    <w:rsid w:val="005C726E"/>
    <w:rsid w:val="005D22A8"/>
    <w:rsid w:val="005D2EED"/>
    <w:rsid w:val="005D4683"/>
    <w:rsid w:val="005D752B"/>
    <w:rsid w:val="005F541A"/>
    <w:rsid w:val="005F56FB"/>
    <w:rsid w:val="005F737C"/>
    <w:rsid w:val="006031CE"/>
    <w:rsid w:val="006040CD"/>
    <w:rsid w:val="006044FD"/>
    <w:rsid w:val="00606251"/>
    <w:rsid w:val="00611DB9"/>
    <w:rsid w:val="0061345D"/>
    <w:rsid w:val="00613B2A"/>
    <w:rsid w:val="00614016"/>
    <w:rsid w:val="0061425F"/>
    <w:rsid w:val="006216DC"/>
    <w:rsid w:val="00622CF8"/>
    <w:rsid w:val="006230C1"/>
    <w:rsid w:val="006231F2"/>
    <w:rsid w:val="00623BF3"/>
    <w:rsid w:val="00625D4A"/>
    <w:rsid w:val="0063360F"/>
    <w:rsid w:val="0063478F"/>
    <w:rsid w:val="006353BD"/>
    <w:rsid w:val="006373FE"/>
    <w:rsid w:val="00641351"/>
    <w:rsid w:val="006430E9"/>
    <w:rsid w:val="00644DBD"/>
    <w:rsid w:val="00651D42"/>
    <w:rsid w:val="0065224A"/>
    <w:rsid w:val="00653C77"/>
    <w:rsid w:val="00657142"/>
    <w:rsid w:val="00657E74"/>
    <w:rsid w:val="00663612"/>
    <w:rsid w:val="00665405"/>
    <w:rsid w:val="006768C3"/>
    <w:rsid w:val="006810A3"/>
    <w:rsid w:val="006814C0"/>
    <w:rsid w:val="00681A7B"/>
    <w:rsid w:val="00682291"/>
    <w:rsid w:val="006853C5"/>
    <w:rsid w:val="00687F8A"/>
    <w:rsid w:val="00690CDD"/>
    <w:rsid w:val="00691C4F"/>
    <w:rsid w:val="00691CC1"/>
    <w:rsid w:val="00691F98"/>
    <w:rsid w:val="00693503"/>
    <w:rsid w:val="0069449C"/>
    <w:rsid w:val="00694BEC"/>
    <w:rsid w:val="006A055D"/>
    <w:rsid w:val="006A2EB2"/>
    <w:rsid w:val="006A344E"/>
    <w:rsid w:val="006A466D"/>
    <w:rsid w:val="006A4934"/>
    <w:rsid w:val="006A78BF"/>
    <w:rsid w:val="006B1AD9"/>
    <w:rsid w:val="006B2A4B"/>
    <w:rsid w:val="006B465C"/>
    <w:rsid w:val="006B67F7"/>
    <w:rsid w:val="006B7166"/>
    <w:rsid w:val="006B7F19"/>
    <w:rsid w:val="006C0DB5"/>
    <w:rsid w:val="006C5C01"/>
    <w:rsid w:val="006D2A15"/>
    <w:rsid w:val="006D49ED"/>
    <w:rsid w:val="006E1696"/>
    <w:rsid w:val="006E502B"/>
    <w:rsid w:val="006E5302"/>
    <w:rsid w:val="006E5E01"/>
    <w:rsid w:val="006F1965"/>
    <w:rsid w:val="006F2964"/>
    <w:rsid w:val="006F2B1D"/>
    <w:rsid w:val="007000DB"/>
    <w:rsid w:val="007015F5"/>
    <w:rsid w:val="00704A28"/>
    <w:rsid w:val="00706AE2"/>
    <w:rsid w:val="007179D9"/>
    <w:rsid w:val="007205F4"/>
    <w:rsid w:val="00723CD2"/>
    <w:rsid w:val="00725861"/>
    <w:rsid w:val="00727EAC"/>
    <w:rsid w:val="00727F8B"/>
    <w:rsid w:val="0073396A"/>
    <w:rsid w:val="00737010"/>
    <w:rsid w:val="00740CC2"/>
    <w:rsid w:val="007427E8"/>
    <w:rsid w:val="0074308E"/>
    <w:rsid w:val="00745564"/>
    <w:rsid w:val="007475E7"/>
    <w:rsid w:val="007513D4"/>
    <w:rsid w:val="00753A2F"/>
    <w:rsid w:val="00753A38"/>
    <w:rsid w:val="00754ACD"/>
    <w:rsid w:val="00754BB9"/>
    <w:rsid w:val="007629E6"/>
    <w:rsid w:val="00763744"/>
    <w:rsid w:val="0077079D"/>
    <w:rsid w:val="0077330B"/>
    <w:rsid w:val="00773D21"/>
    <w:rsid w:val="00774184"/>
    <w:rsid w:val="0077436E"/>
    <w:rsid w:val="00775C01"/>
    <w:rsid w:val="00776022"/>
    <w:rsid w:val="00776599"/>
    <w:rsid w:val="007808D8"/>
    <w:rsid w:val="00784F04"/>
    <w:rsid w:val="00785AD2"/>
    <w:rsid w:val="00792C47"/>
    <w:rsid w:val="0079535B"/>
    <w:rsid w:val="007959EC"/>
    <w:rsid w:val="007A131D"/>
    <w:rsid w:val="007A37CB"/>
    <w:rsid w:val="007A5389"/>
    <w:rsid w:val="007A6AD3"/>
    <w:rsid w:val="007B0A1C"/>
    <w:rsid w:val="007B2DE1"/>
    <w:rsid w:val="007B38C2"/>
    <w:rsid w:val="007B3DDB"/>
    <w:rsid w:val="007B4240"/>
    <w:rsid w:val="007B74E2"/>
    <w:rsid w:val="007C143C"/>
    <w:rsid w:val="007C5097"/>
    <w:rsid w:val="007C5D9A"/>
    <w:rsid w:val="007C6748"/>
    <w:rsid w:val="007D13AA"/>
    <w:rsid w:val="007D25E4"/>
    <w:rsid w:val="007D3677"/>
    <w:rsid w:val="007D37D5"/>
    <w:rsid w:val="007D4026"/>
    <w:rsid w:val="007D4C83"/>
    <w:rsid w:val="007E3DD7"/>
    <w:rsid w:val="007E4062"/>
    <w:rsid w:val="007E6B77"/>
    <w:rsid w:val="007F4DB3"/>
    <w:rsid w:val="007F7081"/>
    <w:rsid w:val="007F77DE"/>
    <w:rsid w:val="00802E30"/>
    <w:rsid w:val="00805C58"/>
    <w:rsid w:val="0081061F"/>
    <w:rsid w:val="00811C90"/>
    <w:rsid w:val="00814331"/>
    <w:rsid w:val="00815A4F"/>
    <w:rsid w:val="0081780D"/>
    <w:rsid w:val="00822044"/>
    <w:rsid w:val="00825F96"/>
    <w:rsid w:val="0082769A"/>
    <w:rsid w:val="00830366"/>
    <w:rsid w:val="008312FA"/>
    <w:rsid w:val="0083604A"/>
    <w:rsid w:val="0083633A"/>
    <w:rsid w:val="008371E9"/>
    <w:rsid w:val="00841EFF"/>
    <w:rsid w:val="008430A8"/>
    <w:rsid w:val="00844A88"/>
    <w:rsid w:val="0084612D"/>
    <w:rsid w:val="008505BE"/>
    <w:rsid w:val="0085783E"/>
    <w:rsid w:val="00857C97"/>
    <w:rsid w:val="00860D55"/>
    <w:rsid w:val="00863A8C"/>
    <w:rsid w:val="008647E6"/>
    <w:rsid w:val="00865009"/>
    <w:rsid w:val="00865750"/>
    <w:rsid w:val="00874547"/>
    <w:rsid w:val="00874890"/>
    <w:rsid w:val="0087751C"/>
    <w:rsid w:val="008813F5"/>
    <w:rsid w:val="00881BAB"/>
    <w:rsid w:val="008829AE"/>
    <w:rsid w:val="0088448F"/>
    <w:rsid w:val="00885285"/>
    <w:rsid w:val="008912D7"/>
    <w:rsid w:val="00891520"/>
    <w:rsid w:val="00894C8B"/>
    <w:rsid w:val="0089520E"/>
    <w:rsid w:val="00896344"/>
    <w:rsid w:val="008971F0"/>
    <w:rsid w:val="00897F70"/>
    <w:rsid w:val="008A036F"/>
    <w:rsid w:val="008A0F94"/>
    <w:rsid w:val="008A1681"/>
    <w:rsid w:val="008A1EEC"/>
    <w:rsid w:val="008A314F"/>
    <w:rsid w:val="008A45C7"/>
    <w:rsid w:val="008B0BBA"/>
    <w:rsid w:val="008B3D8B"/>
    <w:rsid w:val="008B3EC2"/>
    <w:rsid w:val="008B50DC"/>
    <w:rsid w:val="008B77E4"/>
    <w:rsid w:val="008C0EB1"/>
    <w:rsid w:val="008C1E6B"/>
    <w:rsid w:val="008C26B4"/>
    <w:rsid w:val="008C2E49"/>
    <w:rsid w:val="008C4FEE"/>
    <w:rsid w:val="008C5D6C"/>
    <w:rsid w:val="008D0EA9"/>
    <w:rsid w:val="008D1A96"/>
    <w:rsid w:val="008D26EF"/>
    <w:rsid w:val="008D2EDB"/>
    <w:rsid w:val="008E5559"/>
    <w:rsid w:val="008F1C25"/>
    <w:rsid w:val="008F2E17"/>
    <w:rsid w:val="008F3324"/>
    <w:rsid w:val="008F4DB9"/>
    <w:rsid w:val="008F57F1"/>
    <w:rsid w:val="008F7345"/>
    <w:rsid w:val="00903626"/>
    <w:rsid w:val="00905ACD"/>
    <w:rsid w:val="00906910"/>
    <w:rsid w:val="009124DA"/>
    <w:rsid w:val="00913E5D"/>
    <w:rsid w:val="009206A1"/>
    <w:rsid w:val="00922E8E"/>
    <w:rsid w:val="00926FDB"/>
    <w:rsid w:val="009320EC"/>
    <w:rsid w:val="00932116"/>
    <w:rsid w:val="0093610E"/>
    <w:rsid w:val="00937853"/>
    <w:rsid w:val="009411B8"/>
    <w:rsid w:val="00941897"/>
    <w:rsid w:val="009420BA"/>
    <w:rsid w:val="009420BD"/>
    <w:rsid w:val="00950D6A"/>
    <w:rsid w:val="00954D1C"/>
    <w:rsid w:val="00955965"/>
    <w:rsid w:val="0096034F"/>
    <w:rsid w:val="009644A9"/>
    <w:rsid w:val="009654AE"/>
    <w:rsid w:val="00965E34"/>
    <w:rsid w:val="00966CB9"/>
    <w:rsid w:val="0097068E"/>
    <w:rsid w:val="009714DD"/>
    <w:rsid w:val="00971DDB"/>
    <w:rsid w:val="00972DD4"/>
    <w:rsid w:val="00973CBC"/>
    <w:rsid w:val="00975C31"/>
    <w:rsid w:val="00976C40"/>
    <w:rsid w:val="00983589"/>
    <w:rsid w:val="0098433A"/>
    <w:rsid w:val="00990533"/>
    <w:rsid w:val="00992306"/>
    <w:rsid w:val="00994535"/>
    <w:rsid w:val="009949AB"/>
    <w:rsid w:val="00995FC4"/>
    <w:rsid w:val="00997948"/>
    <w:rsid w:val="009A0BA1"/>
    <w:rsid w:val="009A0DEF"/>
    <w:rsid w:val="009A2954"/>
    <w:rsid w:val="009A2AED"/>
    <w:rsid w:val="009A2FCE"/>
    <w:rsid w:val="009A4597"/>
    <w:rsid w:val="009B713F"/>
    <w:rsid w:val="009B7EF5"/>
    <w:rsid w:val="009C4623"/>
    <w:rsid w:val="009C4D4E"/>
    <w:rsid w:val="009C7025"/>
    <w:rsid w:val="009C70C6"/>
    <w:rsid w:val="009D20F1"/>
    <w:rsid w:val="009D4454"/>
    <w:rsid w:val="009D7561"/>
    <w:rsid w:val="009D77DB"/>
    <w:rsid w:val="009E31D6"/>
    <w:rsid w:val="009E6DDA"/>
    <w:rsid w:val="009E7A53"/>
    <w:rsid w:val="009E7C74"/>
    <w:rsid w:val="009F6BE2"/>
    <w:rsid w:val="009F76C7"/>
    <w:rsid w:val="009F7DC1"/>
    <w:rsid w:val="00A00AA9"/>
    <w:rsid w:val="00A011B5"/>
    <w:rsid w:val="00A041B9"/>
    <w:rsid w:val="00A04D12"/>
    <w:rsid w:val="00A06A90"/>
    <w:rsid w:val="00A10232"/>
    <w:rsid w:val="00A12C39"/>
    <w:rsid w:val="00A140E7"/>
    <w:rsid w:val="00A16D86"/>
    <w:rsid w:val="00A20D49"/>
    <w:rsid w:val="00A21E1C"/>
    <w:rsid w:val="00A226E2"/>
    <w:rsid w:val="00A24712"/>
    <w:rsid w:val="00A25F4D"/>
    <w:rsid w:val="00A26FD0"/>
    <w:rsid w:val="00A27063"/>
    <w:rsid w:val="00A272F2"/>
    <w:rsid w:val="00A46943"/>
    <w:rsid w:val="00A47A0A"/>
    <w:rsid w:val="00A47DE0"/>
    <w:rsid w:val="00A505E4"/>
    <w:rsid w:val="00A50872"/>
    <w:rsid w:val="00A51491"/>
    <w:rsid w:val="00A56205"/>
    <w:rsid w:val="00A56CA6"/>
    <w:rsid w:val="00A57F24"/>
    <w:rsid w:val="00A6335B"/>
    <w:rsid w:val="00A6367A"/>
    <w:rsid w:val="00A712B9"/>
    <w:rsid w:val="00A7387B"/>
    <w:rsid w:val="00A756E6"/>
    <w:rsid w:val="00A80C72"/>
    <w:rsid w:val="00A8408F"/>
    <w:rsid w:val="00A8458E"/>
    <w:rsid w:val="00A8548F"/>
    <w:rsid w:val="00A930D7"/>
    <w:rsid w:val="00A9381B"/>
    <w:rsid w:val="00A94682"/>
    <w:rsid w:val="00A971AB"/>
    <w:rsid w:val="00AA0511"/>
    <w:rsid w:val="00AA3557"/>
    <w:rsid w:val="00AA6FEE"/>
    <w:rsid w:val="00AB2059"/>
    <w:rsid w:val="00AB318C"/>
    <w:rsid w:val="00AB6CFD"/>
    <w:rsid w:val="00AC1E76"/>
    <w:rsid w:val="00AC2DA6"/>
    <w:rsid w:val="00AC441D"/>
    <w:rsid w:val="00AC6696"/>
    <w:rsid w:val="00AD0F17"/>
    <w:rsid w:val="00AD2CBA"/>
    <w:rsid w:val="00AD699B"/>
    <w:rsid w:val="00AE0195"/>
    <w:rsid w:val="00AE0A1B"/>
    <w:rsid w:val="00AE13CF"/>
    <w:rsid w:val="00AE5AE5"/>
    <w:rsid w:val="00AE6BB2"/>
    <w:rsid w:val="00AF1276"/>
    <w:rsid w:val="00AF2152"/>
    <w:rsid w:val="00AF4004"/>
    <w:rsid w:val="00AF54D2"/>
    <w:rsid w:val="00AF6F32"/>
    <w:rsid w:val="00B040BD"/>
    <w:rsid w:val="00B043BD"/>
    <w:rsid w:val="00B04C96"/>
    <w:rsid w:val="00B06367"/>
    <w:rsid w:val="00B07E14"/>
    <w:rsid w:val="00B10A5C"/>
    <w:rsid w:val="00B13432"/>
    <w:rsid w:val="00B25450"/>
    <w:rsid w:val="00B266B5"/>
    <w:rsid w:val="00B33572"/>
    <w:rsid w:val="00B33CCD"/>
    <w:rsid w:val="00B35B68"/>
    <w:rsid w:val="00B42950"/>
    <w:rsid w:val="00B42CA0"/>
    <w:rsid w:val="00B452F1"/>
    <w:rsid w:val="00B4615E"/>
    <w:rsid w:val="00B46285"/>
    <w:rsid w:val="00B46CC3"/>
    <w:rsid w:val="00B50A7F"/>
    <w:rsid w:val="00B52DFA"/>
    <w:rsid w:val="00B53B90"/>
    <w:rsid w:val="00B53EC0"/>
    <w:rsid w:val="00B5753D"/>
    <w:rsid w:val="00B61D0F"/>
    <w:rsid w:val="00B6385D"/>
    <w:rsid w:val="00B63E82"/>
    <w:rsid w:val="00B640AF"/>
    <w:rsid w:val="00B642E3"/>
    <w:rsid w:val="00B64F94"/>
    <w:rsid w:val="00B672F6"/>
    <w:rsid w:val="00B702D2"/>
    <w:rsid w:val="00B726D8"/>
    <w:rsid w:val="00B72DF7"/>
    <w:rsid w:val="00B7798A"/>
    <w:rsid w:val="00B80E46"/>
    <w:rsid w:val="00B81C2E"/>
    <w:rsid w:val="00B85287"/>
    <w:rsid w:val="00B9190C"/>
    <w:rsid w:val="00B92058"/>
    <w:rsid w:val="00B976C1"/>
    <w:rsid w:val="00B97854"/>
    <w:rsid w:val="00BA1426"/>
    <w:rsid w:val="00BA16E7"/>
    <w:rsid w:val="00BA3255"/>
    <w:rsid w:val="00BB0C77"/>
    <w:rsid w:val="00BB3727"/>
    <w:rsid w:val="00BC24B7"/>
    <w:rsid w:val="00BC2B8B"/>
    <w:rsid w:val="00BC2E4D"/>
    <w:rsid w:val="00BC3863"/>
    <w:rsid w:val="00BC5A3B"/>
    <w:rsid w:val="00BD4F46"/>
    <w:rsid w:val="00BD50FE"/>
    <w:rsid w:val="00BD558C"/>
    <w:rsid w:val="00BD68D2"/>
    <w:rsid w:val="00BD7523"/>
    <w:rsid w:val="00BE0962"/>
    <w:rsid w:val="00BE2E16"/>
    <w:rsid w:val="00BE59E1"/>
    <w:rsid w:val="00BF1FA9"/>
    <w:rsid w:val="00BF222E"/>
    <w:rsid w:val="00BF2AB3"/>
    <w:rsid w:val="00BF5742"/>
    <w:rsid w:val="00BF6D03"/>
    <w:rsid w:val="00C02321"/>
    <w:rsid w:val="00C039CD"/>
    <w:rsid w:val="00C07D02"/>
    <w:rsid w:val="00C1015C"/>
    <w:rsid w:val="00C11DE4"/>
    <w:rsid w:val="00C22B88"/>
    <w:rsid w:val="00C24ED3"/>
    <w:rsid w:val="00C25907"/>
    <w:rsid w:val="00C25D40"/>
    <w:rsid w:val="00C25EAC"/>
    <w:rsid w:val="00C27F8D"/>
    <w:rsid w:val="00C314DD"/>
    <w:rsid w:val="00C32CF8"/>
    <w:rsid w:val="00C336DA"/>
    <w:rsid w:val="00C33DDE"/>
    <w:rsid w:val="00C34102"/>
    <w:rsid w:val="00C4128D"/>
    <w:rsid w:val="00C415B3"/>
    <w:rsid w:val="00C4164B"/>
    <w:rsid w:val="00C430B1"/>
    <w:rsid w:val="00C434BE"/>
    <w:rsid w:val="00C458FF"/>
    <w:rsid w:val="00C464A5"/>
    <w:rsid w:val="00C4731D"/>
    <w:rsid w:val="00C55187"/>
    <w:rsid w:val="00C55B95"/>
    <w:rsid w:val="00C60FC3"/>
    <w:rsid w:val="00C62109"/>
    <w:rsid w:val="00C66C28"/>
    <w:rsid w:val="00C71A8C"/>
    <w:rsid w:val="00C7443D"/>
    <w:rsid w:val="00C75E9C"/>
    <w:rsid w:val="00C803D9"/>
    <w:rsid w:val="00C80DD1"/>
    <w:rsid w:val="00C86806"/>
    <w:rsid w:val="00C87701"/>
    <w:rsid w:val="00C91E73"/>
    <w:rsid w:val="00C92357"/>
    <w:rsid w:val="00C95CC7"/>
    <w:rsid w:val="00C95E7F"/>
    <w:rsid w:val="00CA31C7"/>
    <w:rsid w:val="00CA32E9"/>
    <w:rsid w:val="00CA3318"/>
    <w:rsid w:val="00CA3F5F"/>
    <w:rsid w:val="00CA42D7"/>
    <w:rsid w:val="00CB3ACE"/>
    <w:rsid w:val="00CB3CA2"/>
    <w:rsid w:val="00CB6457"/>
    <w:rsid w:val="00CC02C5"/>
    <w:rsid w:val="00CC3094"/>
    <w:rsid w:val="00CC4053"/>
    <w:rsid w:val="00CC4464"/>
    <w:rsid w:val="00CC5536"/>
    <w:rsid w:val="00CC5B66"/>
    <w:rsid w:val="00CC7AD6"/>
    <w:rsid w:val="00CD2BE6"/>
    <w:rsid w:val="00CD59A2"/>
    <w:rsid w:val="00CD7A52"/>
    <w:rsid w:val="00CE31F8"/>
    <w:rsid w:val="00CE5CE1"/>
    <w:rsid w:val="00CF13F9"/>
    <w:rsid w:val="00CF384B"/>
    <w:rsid w:val="00CF51C3"/>
    <w:rsid w:val="00CF5D6A"/>
    <w:rsid w:val="00D00145"/>
    <w:rsid w:val="00D014FD"/>
    <w:rsid w:val="00D0189E"/>
    <w:rsid w:val="00D05250"/>
    <w:rsid w:val="00D0582A"/>
    <w:rsid w:val="00D05C2E"/>
    <w:rsid w:val="00D06CD6"/>
    <w:rsid w:val="00D11612"/>
    <w:rsid w:val="00D1438C"/>
    <w:rsid w:val="00D165C6"/>
    <w:rsid w:val="00D1778F"/>
    <w:rsid w:val="00D2191C"/>
    <w:rsid w:val="00D224E1"/>
    <w:rsid w:val="00D229B0"/>
    <w:rsid w:val="00D24238"/>
    <w:rsid w:val="00D27185"/>
    <w:rsid w:val="00D31ABE"/>
    <w:rsid w:val="00D3289E"/>
    <w:rsid w:val="00D33726"/>
    <w:rsid w:val="00D3431B"/>
    <w:rsid w:val="00D368E4"/>
    <w:rsid w:val="00D37770"/>
    <w:rsid w:val="00D4732E"/>
    <w:rsid w:val="00D53D8F"/>
    <w:rsid w:val="00D62CE8"/>
    <w:rsid w:val="00D66EFF"/>
    <w:rsid w:val="00D73656"/>
    <w:rsid w:val="00D74C83"/>
    <w:rsid w:val="00D81CE2"/>
    <w:rsid w:val="00D820AF"/>
    <w:rsid w:val="00D84D07"/>
    <w:rsid w:val="00D92FE5"/>
    <w:rsid w:val="00D95E92"/>
    <w:rsid w:val="00D965A3"/>
    <w:rsid w:val="00D972B3"/>
    <w:rsid w:val="00DA12F9"/>
    <w:rsid w:val="00DA2355"/>
    <w:rsid w:val="00DA6813"/>
    <w:rsid w:val="00DA7BEF"/>
    <w:rsid w:val="00DB086D"/>
    <w:rsid w:val="00DB1BB5"/>
    <w:rsid w:val="00DB2081"/>
    <w:rsid w:val="00DB25F7"/>
    <w:rsid w:val="00DB67FB"/>
    <w:rsid w:val="00DC1B02"/>
    <w:rsid w:val="00DC3ED9"/>
    <w:rsid w:val="00DD0B8B"/>
    <w:rsid w:val="00DD0E6D"/>
    <w:rsid w:val="00DD2287"/>
    <w:rsid w:val="00DD42F9"/>
    <w:rsid w:val="00DD7EFA"/>
    <w:rsid w:val="00DE270B"/>
    <w:rsid w:val="00DE3F43"/>
    <w:rsid w:val="00E01236"/>
    <w:rsid w:val="00E02A65"/>
    <w:rsid w:val="00E0481C"/>
    <w:rsid w:val="00E06D8A"/>
    <w:rsid w:val="00E076AE"/>
    <w:rsid w:val="00E1031C"/>
    <w:rsid w:val="00E12CA8"/>
    <w:rsid w:val="00E1530A"/>
    <w:rsid w:val="00E15920"/>
    <w:rsid w:val="00E1665E"/>
    <w:rsid w:val="00E168B2"/>
    <w:rsid w:val="00E16C0A"/>
    <w:rsid w:val="00E2282E"/>
    <w:rsid w:val="00E310A0"/>
    <w:rsid w:val="00E31EFB"/>
    <w:rsid w:val="00E31FDC"/>
    <w:rsid w:val="00E34AC8"/>
    <w:rsid w:val="00E3726B"/>
    <w:rsid w:val="00E4020D"/>
    <w:rsid w:val="00E454E3"/>
    <w:rsid w:val="00E468EA"/>
    <w:rsid w:val="00E55BEE"/>
    <w:rsid w:val="00E60E59"/>
    <w:rsid w:val="00E62E75"/>
    <w:rsid w:val="00E66E27"/>
    <w:rsid w:val="00E6718E"/>
    <w:rsid w:val="00E72DFF"/>
    <w:rsid w:val="00E75CC4"/>
    <w:rsid w:val="00E76108"/>
    <w:rsid w:val="00E803A9"/>
    <w:rsid w:val="00E82364"/>
    <w:rsid w:val="00E84B39"/>
    <w:rsid w:val="00E90F24"/>
    <w:rsid w:val="00E92D93"/>
    <w:rsid w:val="00E94D49"/>
    <w:rsid w:val="00E956CE"/>
    <w:rsid w:val="00E964B5"/>
    <w:rsid w:val="00E9743E"/>
    <w:rsid w:val="00EA0D5E"/>
    <w:rsid w:val="00EA0E4C"/>
    <w:rsid w:val="00EA427A"/>
    <w:rsid w:val="00EA542E"/>
    <w:rsid w:val="00EA7244"/>
    <w:rsid w:val="00EC0EAA"/>
    <w:rsid w:val="00EC7A63"/>
    <w:rsid w:val="00ED6328"/>
    <w:rsid w:val="00ED7A61"/>
    <w:rsid w:val="00ED7B4E"/>
    <w:rsid w:val="00EE0EAA"/>
    <w:rsid w:val="00EE27F1"/>
    <w:rsid w:val="00EF1A16"/>
    <w:rsid w:val="00EF2033"/>
    <w:rsid w:val="00EF2180"/>
    <w:rsid w:val="00EF3B15"/>
    <w:rsid w:val="00EF50E2"/>
    <w:rsid w:val="00F0129D"/>
    <w:rsid w:val="00F01AA2"/>
    <w:rsid w:val="00F01BFF"/>
    <w:rsid w:val="00F07153"/>
    <w:rsid w:val="00F07D2C"/>
    <w:rsid w:val="00F10D27"/>
    <w:rsid w:val="00F118D3"/>
    <w:rsid w:val="00F121CC"/>
    <w:rsid w:val="00F13E5A"/>
    <w:rsid w:val="00F142F0"/>
    <w:rsid w:val="00F153FE"/>
    <w:rsid w:val="00F15544"/>
    <w:rsid w:val="00F15EE6"/>
    <w:rsid w:val="00F15F24"/>
    <w:rsid w:val="00F17AFB"/>
    <w:rsid w:val="00F2098E"/>
    <w:rsid w:val="00F24BDC"/>
    <w:rsid w:val="00F24C92"/>
    <w:rsid w:val="00F27A6D"/>
    <w:rsid w:val="00F3149A"/>
    <w:rsid w:val="00F326DA"/>
    <w:rsid w:val="00F36D20"/>
    <w:rsid w:val="00F41B59"/>
    <w:rsid w:val="00F43FA3"/>
    <w:rsid w:val="00F46164"/>
    <w:rsid w:val="00F4790C"/>
    <w:rsid w:val="00F511B2"/>
    <w:rsid w:val="00F53792"/>
    <w:rsid w:val="00F5441E"/>
    <w:rsid w:val="00F57490"/>
    <w:rsid w:val="00F57EEC"/>
    <w:rsid w:val="00F6061D"/>
    <w:rsid w:val="00F60A21"/>
    <w:rsid w:val="00F63BD2"/>
    <w:rsid w:val="00F65250"/>
    <w:rsid w:val="00F666C9"/>
    <w:rsid w:val="00F70385"/>
    <w:rsid w:val="00F74571"/>
    <w:rsid w:val="00F7515B"/>
    <w:rsid w:val="00F80831"/>
    <w:rsid w:val="00F810EF"/>
    <w:rsid w:val="00F81659"/>
    <w:rsid w:val="00F82C93"/>
    <w:rsid w:val="00F84A04"/>
    <w:rsid w:val="00F9291C"/>
    <w:rsid w:val="00F92C2D"/>
    <w:rsid w:val="00F96BFA"/>
    <w:rsid w:val="00FA1AD5"/>
    <w:rsid w:val="00FA1E4C"/>
    <w:rsid w:val="00FA4B52"/>
    <w:rsid w:val="00FA55B1"/>
    <w:rsid w:val="00FA6FA0"/>
    <w:rsid w:val="00FA7324"/>
    <w:rsid w:val="00FB1522"/>
    <w:rsid w:val="00FB361E"/>
    <w:rsid w:val="00FB4204"/>
    <w:rsid w:val="00FB7871"/>
    <w:rsid w:val="00FC1E70"/>
    <w:rsid w:val="00FC4502"/>
    <w:rsid w:val="00FC5D62"/>
    <w:rsid w:val="00FC792B"/>
    <w:rsid w:val="00FD1E51"/>
    <w:rsid w:val="00FD41C3"/>
    <w:rsid w:val="00FE062F"/>
    <w:rsid w:val="00FE2D2C"/>
    <w:rsid w:val="00FF07BC"/>
    <w:rsid w:val="00FF2000"/>
    <w:rsid w:val="00FF35D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844E2ED"/>
  <w15:docId w15:val="{5E3A8C69-FCC8-4B23-BD08-F6A80E6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99B"/>
    <w:pPr>
      <w:spacing w:after="24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243FF"/>
    <w:pPr>
      <w:keepNext/>
      <w:outlineLvl w:val="0"/>
    </w:pPr>
    <w:rPr>
      <w:rFonts w:eastAsia="Batang"/>
      <w:b/>
      <w:bCs/>
      <w:caps/>
      <w:sz w:val="28"/>
    </w:rPr>
  </w:style>
  <w:style w:type="paragraph" w:styleId="Heading2">
    <w:name w:val="heading 2"/>
    <w:basedOn w:val="Normal"/>
    <w:next w:val="Normal"/>
    <w:qFormat/>
    <w:rsid w:val="0023670A"/>
    <w:pPr>
      <w:keepNext/>
      <w:numPr>
        <w:ilvl w:val="1"/>
        <w:numId w:val="1"/>
      </w:numPr>
      <w:spacing w:before="120" w:after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rsid w:val="00320D48"/>
    <w:pPr>
      <w:keepNext/>
      <w:numPr>
        <w:ilvl w:val="2"/>
        <w:numId w:val="1"/>
      </w:numPr>
      <w:spacing w:before="120" w:after="1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rsid w:val="0023670A"/>
    <w:pPr>
      <w:keepNext/>
      <w:numPr>
        <w:ilvl w:val="3"/>
        <w:numId w:val="1"/>
      </w:numPr>
      <w:spacing w:before="120" w:after="12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367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367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367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367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367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670A"/>
    <w:rPr>
      <w:color w:val="0000FF"/>
      <w:u w:val="single"/>
    </w:rPr>
  </w:style>
  <w:style w:type="character" w:styleId="FollowedHyperlink">
    <w:name w:val="FollowedHyperlink"/>
    <w:basedOn w:val="DefaultParagraphFont"/>
    <w:rsid w:val="0023670A"/>
    <w:rPr>
      <w:color w:val="800080"/>
      <w:u w:val="single"/>
    </w:rPr>
  </w:style>
  <w:style w:type="paragraph" w:styleId="HTMLPreformatted">
    <w:name w:val="HTML Preformatted"/>
    <w:basedOn w:val="Normal"/>
    <w:rsid w:val="00236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F24BDC"/>
    <w:pPr>
      <w:tabs>
        <w:tab w:val="left" w:pos="1134"/>
        <w:tab w:val="left" w:pos="1870"/>
        <w:tab w:val="right" w:leader="dot" w:pos="9072"/>
      </w:tabs>
      <w:spacing w:after="120"/>
      <w:ind w:left="567" w:hanging="567"/>
      <w:jc w:val="left"/>
    </w:pPr>
    <w:rPr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rsid w:val="004A2A44"/>
    <w:pPr>
      <w:tabs>
        <w:tab w:val="left" w:pos="993"/>
        <w:tab w:val="left" w:pos="1540"/>
        <w:tab w:val="right" w:leader="dot" w:pos="9187"/>
      </w:tabs>
      <w:spacing w:after="120"/>
      <w:ind w:left="567" w:hanging="567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rsid w:val="00FF07BC"/>
    <w:pPr>
      <w:tabs>
        <w:tab w:val="left" w:pos="900"/>
        <w:tab w:val="right" w:leader="dot" w:pos="9072"/>
      </w:tabs>
      <w:spacing w:before="240"/>
      <w:ind w:left="851" w:hanging="503"/>
    </w:pPr>
    <w:rPr>
      <w:b/>
      <w:noProof/>
    </w:rPr>
  </w:style>
  <w:style w:type="paragraph" w:styleId="TOC4">
    <w:name w:val="toc 4"/>
    <w:basedOn w:val="Normal"/>
    <w:next w:val="Normal"/>
    <w:autoRedefine/>
    <w:semiHidden/>
    <w:rsid w:val="0023670A"/>
    <w:pPr>
      <w:ind w:left="440"/>
    </w:pPr>
    <w:rPr>
      <w:rFonts w:ascii="Times New Roman" w:hAnsi="Times New Roman" w:cs="Times New Roman"/>
    </w:rPr>
  </w:style>
  <w:style w:type="paragraph" w:styleId="TOC5">
    <w:name w:val="toc 5"/>
    <w:basedOn w:val="Normal"/>
    <w:next w:val="Normal"/>
    <w:autoRedefine/>
    <w:semiHidden/>
    <w:rsid w:val="0023670A"/>
    <w:pPr>
      <w:ind w:left="66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semiHidden/>
    <w:rsid w:val="0023670A"/>
    <w:pPr>
      <w:ind w:left="88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semiHidden/>
    <w:rsid w:val="0023670A"/>
    <w:pPr>
      <w:ind w:left="110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semiHidden/>
    <w:rsid w:val="0023670A"/>
    <w:pPr>
      <w:ind w:left="132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semiHidden/>
    <w:rsid w:val="0023670A"/>
    <w:pPr>
      <w:ind w:left="1540"/>
    </w:pPr>
    <w:rPr>
      <w:rFonts w:ascii="Times New Roman" w:hAnsi="Times New Roman" w:cs="Times New Roman"/>
    </w:rPr>
  </w:style>
  <w:style w:type="paragraph" w:styleId="FootnoteText">
    <w:name w:val="footnote text"/>
    <w:basedOn w:val="Normal"/>
    <w:semiHidden/>
    <w:rsid w:val="0023670A"/>
    <w:rPr>
      <w:rFonts w:cs="Times New Roman"/>
      <w:sz w:val="20"/>
      <w:szCs w:val="20"/>
    </w:rPr>
  </w:style>
  <w:style w:type="paragraph" w:styleId="Header">
    <w:name w:val="header"/>
    <w:basedOn w:val="Normal"/>
    <w:rsid w:val="0023670A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3670A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rsid w:val="0023670A"/>
    <w:pPr>
      <w:spacing w:before="120" w:after="120"/>
    </w:pPr>
  </w:style>
  <w:style w:type="paragraph" w:styleId="BodyTextIndent">
    <w:name w:val="Body Text Indent"/>
    <w:basedOn w:val="Normal"/>
    <w:rsid w:val="0023670A"/>
    <w:pPr>
      <w:ind w:left="420"/>
    </w:pPr>
    <w:rPr>
      <w:rFonts w:cs="Times New Roman"/>
    </w:rPr>
  </w:style>
  <w:style w:type="paragraph" w:styleId="BodyText2">
    <w:name w:val="Body Text 2"/>
    <w:basedOn w:val="Normal"/>
    <w:rsid w:val="0023670A"/>
    <w:pPr>
      <w:keepLines/>
    </w:pPr>
    <w:rPr>
      <w:sz w:val="18"/>
    </w:rPr>
  </w:style>
  <w:style w:type="paragraph" w:styleId="BodyText3">
    <w:name w:val="Body Text 3"/>
    <w:basedOn w:val="Normal"/>
    <w:link w:val="BodyText3Char"/>
    <w:rsid w:val="0023670A"/>
    <w:pPr>
      <w:spacing w:before="120" w:after="120"/>
    </w:pPr>
  </w:style>
  <w:style w:type="paragraph" w:styleId="BodyTextIndent2">
    <w:name w:val="Body Text Indent 2"/>
    <w:basedOn w:val="Normal"/>
    <w:rsid w:val="0023670A"/>
    <w:pPr>
      <w:tabs>
        <w:tab w:val="left" w:pos="144"/>
      </w:tabs>
      <w:ind w:left="144"/>
    </w:pPr>
    <w:rPr>
      <w:rFonts w:cs="Times New Roman"/>
      <w:sz w:val="24"/>
    </w:rPr>
  </w:style>
  <w:style w:type="paragraph" w:styleId="BlockText">
    <w:name w:val="Block Text"/>
    <w:basedOn w:val="Normal"/>
    <w:rsid w:val="0023670A"/>
    <w:pPr>
      <w:ind w:left="-900" w:right="-720"/>
    </w:pPr>
    <w:rPr>
      <w:rFonts w:eastAsia="Arial Unicode MS"/>
      <w:bCs/>
      <w:sz w:val="20"/>
    </w:rPr>
  </w:style>
  <w:style w:type="paragraph" w:styleId="BalloonText">
    <w:name w:val="Balloon Text"/>
    <w:basedOn w:val="Normal"/>
    <w:rsid w:val="002367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670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1">
    <w:name w:val="CM11"/>
    <w:basedOn w:val="Default"/>
    <w:next w:val="Default"/>
    <w:rsid w:val="0023670A"/>
    <w:pPr>
      <w:spacing w:after="175"/>
    </w:pPr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sid w:val="0023670A"/>
    <w:pPr>
      <w:spacing w:line="371" w:lineRule="atLeast"/>
    </w:pPr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23670A"/>
    <w:pPr>
      <w:spacing w:line="260" w:lineRule="atLeast"/>
    </w:pPr>
    <w:rPr>
      <w:rFonts w:cs="Times New Roman"/>
      <w:color w:val="auto"/>
      <w:sz w:val="20"/>
    </w:rPr>
  </w:style>
  <w:style w:type="paragraph" w:customStyle="1" w:styleId="CM12">
    <w:name w:val="CM12"/>
    <w:basedOn w:val="Default"/>
    <w:next w:val="Default"/>
    <w:rsid w:val="0023670A"/>
    <w:pPr>
      <w:spacing w:after="258"/>
    </w:pPr>
    <w:rPr>
      <w:rFonts w:cs="Times New Roman"/>
      <w:color w:val="auto"/>
      <w:sz w:val="20"/>
    </w:rPr>
  </w:style>
  <w:style w:type="paragraph" w:customStyle="1" w:styleId="CM3">
    <w:name w:val="CM3"/>
    <w:basedOn w:val="Default"/>
    <w:next w:val="Default"/>
    <w:rsid w:val="0023670A"/>
    <w:pPr>
      <w:spacing w:line="260" w:lineRule="atLeast"/>
    </w:pPr>
    <w:rPr>
      <w:rFonts w:cs="Times New Roman"/>
      <w:color w:val="auto"/>
      <w:sz w:val="20"/>
    </w:rPr>
  </w:style>
  <w:style w:type="paragraph" w:customStyle="1" w:styleId="CM4">
    <w:name w:val="CM4"/>
    <w:basedOn w:val="Default"/>
    <w:next w:val="Default"/>
    <w:rsid w:val="0023670A"/>
    <w:rPr>
      <w:rFonts w:cs="Times New Roman"/>
      <w:color w:val="auto"/>
      <w:sz w:val="20"/>
    </w:rPr>
  </w:style>
  <w:style w:type="paragraph" w:customStyle="1" w:styleId="CM5">
    <w:name w:val="CM5"/>
    <w:basedOn w:val="Default"/>
    <w:next w:val="Default"/>
    <w:rsid w:val="0023670A"/>
    <w:pPr>
      <w:spacing w:line="260" w:lineRule="atLeast"/>
    </w:pPr>
    <w:rPr>
      <w:rFonts w:cs="Times New Roman"/>
      <w:color w:val="auto"/>
      <w:sz w:val="20"/>
    </w:rPr>
  </w:style>
  <w:style w:type="paragraph" w:customStyle="1" w:styleId="CM6">
    <w:name w:val="CM6"/>
    <w:basedOn w:val="Default"/>
    <w:next w:val="Default"/>
    <w:rsid w:val="0023670A"/>
    <w:rPr>
      <w:rFonts w:cs="Times New Roman"/>
      <w:color w:val="auto"/>
      <w:sz w:val="20"/>
    </w:rPr>
  </w:style>
  <w:style w:type="paragraph" w:customStyle="1" w:styleId="CM7">
    <w:name w:val="CM7"/>
    <w:basedOn w:val="Default"/>
    <w:next w:val="Default"/>
    <w:rsid w:val="0023670A"/>
    <w:pPr>
      <w:spacing w:line="260" w:lineRule="atLeast"/>
    </w:pPr>
    <w:rPr>
      <w:rFonts w:cs="Times New Roman"/>
      <w:color w:val="auto"/>
      <w:sz w:val="20"/>
    </w:rPr>
  </w:style>
  <w:style w:type="paragraph" w:customStyle="1" w:styleId="CM8">
    <w:name w:val="CM8"/>
    <w:basedOn w:val="Default"/>
    <w:next w:val="Default"/>
    <w:rsid w:val="0023670A"/>
    <w:rPr>
      <w:rFonts w:cs="Times New Roman"/>
      <w:color w:val="auto"/>
      <w:sz w:val="20"/>
    </w:rPr>
  </w:style>
  <w:style w:type="paragraph" w:customStyle="1" w:styleId="CM9">
    <w:name w:val="CM9"/>
    <w:basedOn w:val="Default"/>
    <w:next w:val="Default"/>
    <w:rsid w:val="0023670A"/>
    <w:pPr>
      <w:spacing w:line="260" w:lineRule="atLeast"/>
    </w:pPr>
    <w:rPr>
      <w:rFonts w:cs="Times New Roman"/>
      <w:color w:val="auto"/>
      <w:sz w:val="20"/>
    </w:rPr>
  </w:style>
  <w:style w:type="paragraph" w:customStyle="1" w:styleId="CM10">
    <w:name w:val="CM10"/>
    <w:basedOn w:val="Default"/>
    <w:next w:val="Default"/>
    <w:rsid w:val="0023670A"/>
    <w:pPr>
      <w:spacing w:line="260" w:lineRule="atLeast"/>
    </w:pPr>
    <w:rPr>
      <w:rFonts w:cs="Times New Roman"/>
      <w:color w:val="auto"/>
      <w:sz w:val="20"/>
    </w:rPr>
  </w:style>
  <w:style w:type="paragraph" w:customStyle="1" w:styleId="Head01">
    <w:name w:val="Head01"/>
    <w:basedOn w:val="BodyText"/>
    <w:rsid w:val="0023670A"/>
    <w:rPr>
      <w:b/>
      <w:bCs/>
      <w:sz w:val="28"/>
    </w:rPr>
  </w:style>
  <w:style w:type="paragraph" w:customStyle="1" w:styleId="Head02">
    <w:name w:val="Head02"/>
    <w:basedOn w:val="BodyText"/>
    <w:rsid w:val="0023670A"/>
    <w:pPr>
      <w:ind w:left="360" w:hanging="360"/>
    </w:pPr>
    <w:rPr>
      <w:rFonts w:ascii="Arial (W1)" w:hAnsi="Arial (W1)"/>
      <w:b/>
      <w:bCs/>
      <w:u w:val="single"/>
    </w:rPr>
  </w:style>
  <w:style w:type="character" w:styleId="FootnoteReference">
    <w:name w:val="footnote reference"/>
    <w:basedOn w:val="DefaultParagraphFont"/>
    <w:semiHidden/>
    <w:rsid w:val="0023670A"/>
    <w:rPr>
      <w:vertAlign w:val="superscript"/>
    </w:rPr>
  </w:style>
  <w:style w:type="character" w:styleId="PageNumber">
    <w:name w:val="page number"/>
    <w:basedOn w:val="DefaultParagraphFont"/>
    <w:rsid w:val="0023670A"/>
  </w:style>
  <w:style w:type="paragraph" w:styleId="BodyTextIndent3">
    <w:name w:val="Body Text Indent 3"/>
    <w:basedOn w:val="Normal"/>
    <w:rsid w:val="0023670A"/>
    <w:pPr>
      <w:spacing w:before="60" w:after="60"/>
      <w:ind w:left="1800" w:hanging="1800"/>
    </w:pPr>
    <w:rPr>
      <w:b/>
      <w:bCs/>
      <w:sz w:val="24"/>
      <w:lang w:val="de-DE"/>
    </w:rPr>
  </w:style>
  <w:style w:type="character" w:styleId="Strong">
    <w:name w:val="Strong"/>
    <w:basedOn w:val="DefaultParagraphFont"/>
    <w:qFormat/>
    <w:rsid w:val="0023670A"/>
    <w:rPr>
      <w:b/>
      <w:bCs/>
    </w:rPr>
  </w:style>
  <w:style w:type="character" w:styleId="CommentReference">
    <w:name w:val="annotation reference"/>
    <w:basedOn w:val="DefaultParagraphFont"/>
    <w:rsid w:val="0073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7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010"/>
    <w:rPr>
      <w:rFonts w:ascii="Arial" w:hAnsi="Arial" w:cs="Arial"/>
      <w:lang w:val="en-GB" w:eastAsia="en-US"/>
    </w:rPr>
  </w:style>
  <w:style w:type="paragraph" w:customStyle="1" w:styleId="StyleHeading2Left0Firstline0">
    <w:name w:val="Style Heading 2 + Left:  0&quot; First line:  0&quot;"/>
    <w:basedOn w:val="Heading2"/>
    <w:rsid w:val="002D7BBB"/>
    <w:pPr>
      <w:ind w:left="0" w:firstLine="0"/>
    </w:pPr>
    <w:rPr>
      <w:rFonts w:cs="Times New Roman"/>
      <w:sz w:val="22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C4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41D"/>
    <w:rPr>
      <w:rFonts w:ascii="Arial" w:hAnsi="Arial" w:cs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653C77"/>
    <w:pPr>
      <w:spacing w:after="200"/>
      <w:ind w:left="7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4C1371"/>
    <w:rPr>
      <w:rFonts w:ascii="Arial" w:hAnsi="Arial" w:cs="Arial"/>
      <w:sz w:val="22"/>
      <w:szCs w:val="24"/>
      <w:lang w:val="en-GB" w:eastAsia="en-US"/>
    </w:rPr>
  </w:style>
  <w:style w:type="character" w:styleId="LineNumber">
    <w:name w:val="line number"/>
    <w:basedOn w:val="DefaultParagraphFont"/>
    <w:rsid w:val="00BF5742"/>
  </w:style>
  <w:style w:type="paragraph" w:styleId="TOCHeading">
    <w:name w:val="TOC Heading"/>
    <w:basedOn w:val="Heading1"/>
    <w:next w:val="Normal"/>
    <w:uiPriority w:val="39"/>
    <w:unhideWhenUsed/>
    <w:qFormat/>
    <w:rsid w:val="005243FF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Cs w:val="28"/>
    </w:rPr>
  </w:style>
  <w:style w:type="character" w:customStyle="1" w:styleId="BodyText3Char">
    <w:name w:val="Body Text 3 Char"/>
    <w:basedOn w:val="DefaultParagraphFont"/>
    <w:link w:val="BodyText3"/>
    <w:rsid w:val="00885285"/>
    <w:rPr>
      <w:rFonts w:ascii="Arial" w:hAnsi="Arial" w:cs="Arial"/>
      <w:sz w:val="22"/>
      <w:szCs w:val="24"/>
      <w:lang w:val="en-GB" w:eastAsia="en-US"/>
    </w:rPr>
  </w:style>
  <w:style w:type="paragraph" w:customStyle="1" w:styleId="norma">
    <w:name w:val="norma"/>
    <w:basedOn w:val="Normal"/>
    <w:rsid w:val="008852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56CA6"/>
    <w:rPr>
      <w:sz w:val="24"/>
      <w:szCs w:val="24"/>
      <w:lang w:val="en-GB" w:eastAsia="en-US"/>
    </w:rPr>
  </w:style>
  <w:style w:type="paragraph" w:customStyle="1" w:styleId="DRGuideTitle">
    <w:name w:val="DR Guide Title"/>
    <w:basedOn w:val="Title"/>
    <w:next w:val="ChapterHeading1"/>
    <w:link w:val="DRGuideTitleChar"/>
    <w:qFormat/>
    <w:rsid w:val="00AD699B"/>
    <w:pPr>
      <w:pBdr>
        <w:bottom w:val="none" w:sz="0" w:space="0" w:color="auto"/>
      </w:pBdr>
      <w:jc w:val="center"/>
      <w:outlineLvl w:val="0"/>
    </w:pPr>
    <w:rPr>
      <w:rFonts w:ascii="Arial (W1)" w:hAnsi="Arial (W1)" w:cs="Arial (W1)"/>
      <w:b/>
      <w:color w:val="003399"/>
      <w:sz w:val="44"/>
      <w:szCs w:val="44"/>
    </w:rPr>
  </w:style>
  <w:style w:type="character" w:customStyle="1" w:styleId="DRGuideTitleChar">
    <w:name w:val="DR Guide Title Char"/>
    <w:basedOn w:val="TitleChar"/>
    <w:link w:val="DRGuideTitle"/>
    <w:rsid w:val="00AD699B"/>
    <w:rPr>
      <w:rFonts w:ascii="Arial (W1)" w:eastAsiaTheme="majorEastAsia" w:hAnsi="Arial (W1)" w:cs="Arial (W1)"/>
      <w:b/>
      <w:color w:val="003399"/>
      <w:spacing w:val="5"/>
      <w:kern w:val="28"/>
      <w:sz w:val="44"/>
      <w:szCs w:val="44"/>
      <w:lang w:val="en-GB" w:eastAsia="en-US"/>
    </w:rPr>
  </w:style>
  <w:style w:type="paragraph" w:styleId="Title">
    <w:name w:val="Title"/>
    <w:basedOn w:val="Normal"/>
    <w:next w:val="Normal"/>
    <w:link w:val="TitleChar"/>
    <w:rsid w:val="00AD6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6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ChapterTitle">
    <w:name w:val="Chapter Title"/>
    <w:basedOn w:val="Heading1"/>
    <w:next w:val="ChapterHeading1"/>
    <w:qFormat/>
    <w:rsid w:val="00AD699B"/>
    <w:pPr>
      <w:keepLines/>
      <w:spacing w:before="120" w:after="120" w:line="240" w:lineRule="auto"/>
    </w:pPr>
    <w:rPr>
      <w:rFonts w:eastAsiaTheme="majorEastAsia" w:cs="Arial"/>
      <w:caps w:val="0"/>
      <w:szCs w:val="28"/>
    </w:rPr>
  </w:style>
  <w:style w:type="paragraph" w:customStyle="1" w:styleId="ChapterHeading1">
    <w:name w:val="Chapter Heading 1"/>
    <w:basedOn w:val="ListNumber"/>
    <w:next w:val="Normal"/>
    <w:qFormat/>
    <w:rsid w:val="00AD699B"/>
    <w:pPr>
      <w:numPr>
        <w:numId w:val="37"/>
      </w:numPr>
      <w:spacing w:before="120" w:after="120"/>
      <w:ind w:hanging="720"/>
      <w:outlineLvl w:val="2"/>
    </w:pPr>
    <w:rPr>
      <w:rFonts w:cs="Arial"/>
      <w:b/>
      <w:sz w:val="24"/>
      <w:szCs w:val="24"/>
    </w:rPr>
  </w:style>
  <w:style w:type="paragraph" w:styleId="ListNumber">
    <w:name w:val="List Number"/>
    <w:basedOn w:val="Normal"/>
    <w:rsid w:val="00AD699B"/>
    <w:pPr>
      <w:numPr>
        <w:numId w:val="34"/>
      </w:numPr>
      <w:contextualSpacing/>
    </w:pPr>
  </w:style>
  <w:style w:type="paragraph" w:customStyle="1" w:styleId="ChapterHeading2">
    <w:name w:val="Chapter Heading 2"/>
    <w:basedOn w:val="ListNumber2"/>
    <w:next w:val="Normal"/>
    <w:qFormat/>
    <w:rsid w:val="00AD699B"/>
    <w:pPr>
      <w:numPr>
        <w:ilvl w:val="1"/>
        <w:numId w:val="37"/>
      </w:numPr>
      <w:spacing w:before="120" w:after="120"/>
    </w:pPr>
    <w:rPr>
      <w:rFonts w:cs="Arial"/>
      <w:b/>
      <w:szCs w:val="24"/>
    </w:rPr>
  </w:style>
  <w:style w:type="paragraph" w:styleId="ListNumber2">
    <w:name w:val="List Number 2"/>
    <w:basedOn w:val="Normal"/>
    <w:rsid w:val="00AD699B"/>
    <w:pPr>
      <w:numPr>
        <w:numId w:val="35"/>
      </w:numPr>
      <w:contextualSpacing/>
    </w:pPr>
  </w:style>
  <w:style w:type="paragraph" w:customStyle="1" w:styleId="ChapterHeading3">
    <w:name w:val="Chapter Heading 3"/>
    <w:basedOn w:val="ListNumber3"/>
    <w:next w:val="Normal"/>
    <w:qFormat/>
    <w:rsid w:val="00AD699B"/>
    <w:pPr>
      <w:numPr>
        <w:ilvl w:val="2"/>
        <w:numId w:val="37"/>
      </w:numPr>
      <w:spacing w:before="120"/>
    </w:pPr>
    <w:rPr>
      <w:u w:val="single"/>
    </w:rPr>
  </w:style>
  <w:style w:type="paragraph" w:styleId="ListNumber3">
    <w:name w:val="List Number 3"/>
    <w:basedOn w:val="Normal"/>
    <w:rsid w:val="00AD699B"/>
    <w:pPr>
      <w:numPr>
        <w:numId w:val="36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C158E"/>
    <w:pPr>
      <w:keepNext/>
      <w:spacing w:after="120" w:line="240" w:lineRule="auto"/>
    </w:pPr>
    <w:rPr>
      <w:b/>
      <w:bCs/>
      <w:sz w:val="20"/>
      <w:szCs w:val="18"/>
    </w:rPr>
  </w:style>
  <w:style w:type="character" w:customStyle="1" w:styleId="CharChar">
    <w:name w:val="Char Char"/>
    <w:basedOn w:val="DefaultParagraphFont"/>
    <w:rsid w:val="00056E74"/>
    <w:rPr>
      <w:sz w:val="24"/>
      <w:szCs w:val="24"/>
      <w:lang w:val="en-GB" w:eastAsia="en-US" w:bidi="ar-SA"/>
    </w:rPr>
  </w:style>
  <w:style w:type="table" w:styleId="TableGrid">
    <w:name w:val="Table Grid"/>
    <w:basedOn w:val="TableNormal"/>
    <w:rsid w:val="004F2E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877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D0D4F011DEF41843FC5113C65C096" ma:contentTypeVersion="2" ma:contentTypeDescription="Create a new document." ma:contentTypeScope="" ma:versionID="46e676818e94947154b5bc2cbc62f81b">
  <xsd:schema xmlns:xsd="http://www.w3.org/2001/XMLSchema" xmlns:xs="http://www.w3.org/2001/XMLSchema" xmlns:p="http://schemas.microsoft.com/office/2006/metadata/properties" xmlns:ns2="07c2a80d-d294-40a7-96f1-7cd8d0069b2e" xmlns:ns3="http://schemas.microsoft.com/sharepoint/v4" targetNamespace="http://schemas.microsoft.com/office/2006/metadata/properties" ma:root="true" ma:fieldsID="9b56de6dc27660652358e639474b20da" ns2:_="" ns3:_="">
    <xsd:import namespace="07c2a80d-d294-40a7-96f1-7cd8d0069b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2a80d-d294-40a7-96f1-7cd8d0069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3015-ED15-4AB5-B123-A80433828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BD6C6-7603-4810-B530-3E2361BA6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2a80d-d294-40a7-96f1-7cd8d0069b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E5939-2A2F-4651-82DB-ACA6A190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3189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MIV Guidelines Biologics</vt:lpstr>
    </vt:vector>
  </TitlesOfParts>
  <Company>HSA-CDA</Company>
  <LinksUpToDate>false</LinksUpToDate>
  <CharactersWithSpaces>21798</CharactersWithSpaces>
  <SharedDoc>false</SharedDoc>
  <HLinks>
    <vt:vector size="180" baseType="variant"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_Toc273540508</vt:lpwstr>
      </vt:variant>
      <vt:variant>
        <vt:i4>1507376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_Toc273540521</vt:lpwstr>
      </vt:variant>
      <vt:variant>
        <vt:i4>1507376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_Toc273540520</vt:lpwstr>
      </vt:variant>
      <vt:variant>
        <vt:i4>1310768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_Toc273540519</vt:lpwstr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_Toc273540516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_Toc273540517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_Toc273540518</vt:lpwstr>
      </vt:variant>
      <vt:variant>
        <vt:i4>1507376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_Toc273540522</vt:lpwstr>
      </vt:variant>
      <vt:variant>
        <vt:i4>1507376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_Toc273540523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_Toc273540513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_Toc273540512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_Toc273540515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_Toc273540511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_Toc273540510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_Toc273540509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_Toc273540508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_Toc273540505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_Toc273540504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_Toc273540502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_Toc273540507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_Toc273540501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_Toc273540495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_Toc273540496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_Toc273540503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_Toc273540506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_Toc273540494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_Toc273540493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_Toc273540492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_Toc273540491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_Toc273540490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MIV Guidelines Biologics</dc:title>
  <dc:subject>HSA Guidelines, Appendix 8B of DR Guide</dc:subject>
  <dc:creator>HSA</dc:creator>
  <cp:keywords>MIV</cp:keywords>
  <dc:description>Draft 2006 Nov 23</dc:description>
  <cp:lastModifiedBy>Claire LO (HSA)</cp:lastModifiedBy>
  <cp:revision>4</cp:revision>
  <cp:lastPrinted>2022-03-08T05:50:00Z</cp:lastPrinted>
  <dcterms:created xsi:type="dcterms:W3CDTF">2024-07-25T03:07:00Z</dcterms:created>
  <dcterms:modified xsi:type="dcterms:W3CDTF">2024-07-25T04:46:00Z</dcterms:modified>
  <cp:category>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0x01010044FD0D4F011DEF41843FC5113C65C096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2024-07-25T03:06:55Z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8c598063-57fa-4920-838c-bb8d2b5ae6de</vt:lpwstr>
  </property>
  <property fmtid="{D5CDD505-2E9C-101B-9397-08002B2CF9AE}" pid="9" name="MSIP_Label_5434c4c7-833e-41e4-b0ab-cdb227a2f6f7_ContentBits">
    <vt:lpwstr>0</vt:lpwstr>
  </property>
</Properties>
</file>